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BA" w:rsidRDefault="003C34BA" w:rsidP="003C34BA">
      <w:pPr>
        <w:autoSpaceDE w:val="0"/>
        <w:autoSpaceDN w:val="0"/>
        <w:adjustRightInd w:val="0"/>
        <w:jc w:val="both"/>
      </w:pPr>
      <w:r>
        <w:t xml:space="preserve">In order to explain the </w:t>
      </w:r>
      <w:smartTag w:uri="urn:schemas-microsoft-com:office:smarttags" w:element="place">
        <w:smartTag w:uri="urn:schemas-microsoft-com:office:smarttags" w:element="country-region">
          <w:r>
            <w:t>US</w:t>
          </w:r>
        </w:smartTag>
      </w:smartTag>
      <w:r>
        <w:t xml:space="preserve"> defense budget, you are using the data from 1962 to 1981 with the following variables (all measured in billions USD) and estimate the corresponding model (Model </w:t>
      </w:r>
      <w:proofErr w:type="gramStart"/>
      <w:r>
        <w:t>1):(</w:t>
      </w:r>
      <w:proofErr w:type="gramEnd"/>
      <w:r>
        <w:t xml:space="preserve">Use α=0.05 for references) </w:t>
      </w:r>
    </w:p>
    <w:p w:rsidR="003C34BA" w:rsidRDefault="003C34BA" w:rsidP="003C34BA">
      <w:pPr>
        <w:autoSpaceDE w:val="0"/>
        <w:autoSpaceDN w:val="0"/>
        <w:adjustRightInd w:val="0"/>
        <w:jc w:val="both"/>
      </w:pPr>
    </w:p>
    <w:p w:rsidR="003C34BA" w:rsidRPr="00FF2C78" w:rsidRDefault="003C34BA" w:rsidP="003C34BA">
      <w:pPr>
        <w:autoSpaceDE w:val="0"/>
        <w:autoSpaceDN w:val="0"/>
        <w:adjustRightInd w:val="0"/>
        <w:jc w:val="both"/>
      </w:pPr>
      <w:r>
        <w:t>Y</w:t>
      </w:r>
      <w:r>
        <w:rPr>
          <w:vertAlign w:val="subscript"/>
        </w:rPr>
        <w:t>t</w:t>
      </w:r>
      <w:r>
        <w:t xml:space="preserve">: </w:t>
      </w:r>
      <w:r>
        <w:tab/>
        <w:t>Defense budget outlay for year t</w:t>
      </w:r>
    </w:p>
    <w:p w:rsidR="003C34BA" w:rsidRDefault="003C34BA" w:rsidP="003C34BA">
      <w:pPr>
        <w:autoSpaceDE w:val="0"/>
        <w:autoSpaceDN w:val="0"/>
        <w:adjustRightInd w:val="0"/>
        <w:jc w:val="both"/>
      </w:pPr>
      <w:r>
        <w:t>X</w:t>
      </w:r>
      <w:r>
        <w:rPr>
          <w:vertAlign w:val="subscript"/>
        </w:rPr>
        <w:t>2t</w:t>
      </w:r>
      <w:r>
        <w:t xml:space="preserve">: </w:t>
      </w:r>
      <w:r>
        <w:tab/>
        <w:t>GNP for year t</w:t>
      </w:r>
    </w:p>
    <w:p w:rsidR="003C34BA" w:rsidRPr="00FF2C78" w:rsidRDefault="003C34BA" w:rsidP="003C34BA">
      <w:pPr>
        <w:autoSpaceDE w:val="0"/>
        <w:autoSpaceDN w:val="0"/>
        <w:adjustRightInd w:val="0"/>
        <w:jc w:val="both"/>
      </w:pPr>
      <w:r>
        <w:t>X</w:t>
      </w:r>
      <w:r>
        <w:rPr>
          <w:vertAlign w:val="subscript"/>
        </w:rPr>
        <w:t>3t</w:t>
      </w:r>
      <w:r>
        <w:t xml:space="preserve">: </w:t>
      </w:r>
      <w:r>
        <w:tab/>
        <w:t>US military sales in year t</w:t>
      </w:r>
    </w:p>
    <w:p w:rsidR="003C34BA" w:rsidRPr="00FF2C78" w:rsidRDefault="003C34BA" w:rsidP="003C34BA">
      <w:pPr>
        <w:autoSpaceDE w:val="0"/>
        <w:autoSpaceDN w:val="0"/>
        <w:adjustRightInd w:val="0"/>
        <w:jc w:val="both"/>
      </w:pPr>
      <w:r>
        <w:t>X</w:t>
      </w:r>
      <w:r>
        <w:rPr>
          <w:vertAlign w:val="subscript"/>
        </w:rPr>
        <w:t>4t</w:t>
      </w:r>
      <w:r>
        <w:t xml:space="preserve">: </w:t>
      </w:r>
      <w:r>
        <w:tab/>
        <w:t>Aerospace industry sales in year t</w:t>
      </w:r>
    </w:p>
    <w:p w:rsidR="003C34BA" w:rsidRDefault="003C34BA" w:rsidP="003C34BA">
      <w:pPr>
        <w:autoSpaceDE w:val="0"/>
        <w:autoSpaceDN w:val="0"/>
        <w:adjustRightInd w:val="0"/>
        <w:ind w:left="720" w:hanging="720"/>
        <w:jc w:val="both"/>
      </w:pPr>
      <w:r>
        <w:t>D1</w:t>
      </w:r>
      <w:r>
        <w:rPr>
          <w:vertAlign w:val="subscript"/>
        </w:rPr>
        <w:t>t</w:t>
      </w:r>
      <w:r>
        <w:t xml:space="preserve">: </w:t>
      </w:r>
      <w:r>
        <w:tab/>
        <w:t>Dummy variable presenting the military conflict involving more than 100,000 troops; D1</w:t>
      </w:r>
      <w:r>
        <w:rPr>
          <w:vertAlign w:val="subscript"/>
        </w:rPr>
        <w:t>t</w:t>
      </w:r>
      <w:r>
        <w:t>=1 if more than 100,000 troops are involved and equal to 0 if fewer than 100,000 troops are involved.</w:t>
      </w:r>
    </w:p>
    <w:tbl>
      <w:tblPr>
        <w:tblpPr w:leftFromText="180" w:rightFromText="180" w:vertAnchor="page" w:horzAnchor="margin" w:tblpY="8245"/>
        <w:tblW w:w="0" w:type="auto"/>
        <w:tblLayout w:type="fixed"/>
        <w:tblCellMar>
          <w:left w:w="30" w:type="dxa"/>
          <w:right w:w="30" w:type="dxa"/>
        </w:tblCellMar>
        <w:tblLook w:val="0000" w:firstRow="0" w:lastRow="0" w:firstColumn="0" w:lastColumn="0" w:noHBand="0" w:noVBand="0"/>
      </w:tblPr>
      <w:tblGrid>
        <w:gridCol w:w="2032"/>
        <w:gridCol w:w="1085"/>
        <w:gridCol w:w="1193"/>
        <w:gridCol w:w="1194"/>
        <w:gridCol w:w="976"/>
      </w:tblGrid>
      <w:tr w:rsidR="003C34BA" w:rsidTr="005F4B0D">
        <w:tblPrEx>
          <w:tblCellMar>
            <w:top w:w="0" w:type="dxa"/>
            <w:bottom w:w="0" w:type="dxa"/>
          </w:tblCellMar>
        </w:tblPrEx>
        <w:trPr>
          <w:trHeight w:val="363"/>
        </w:trPr>
        <w:tc>
          <w:tcPr>
            <w:tcW w:w="6480" w:type="dxa"/>
            <w:gridSpan w:val="5"/>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Dependent Variable: Y                          Sample: 1962 1981</w:t>
            </w:r>
          </w:p>
        </w:tc>
      </w:tr>
      <w:tr w:rsidR="003C34BA" w:rsidTr="005F4B0D">
        <w:tblPrEx>
          <w:tblCellMar>
            <w:top w:w="0" w:type="dxa"/>
            <w:bottom w:w="0" w:type="dxa"/>
          </w:tblCellMar>
        </w:tblPrEx>
        <w:tc>
          <w:tcPr>
            <w:tcW w:w="6480" w:type="dxa"/>
            <w:gridSpan w:val="5"/>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Method: Least Squares                         Included observations: 20</w:t>
            </w:r>
          </w:p>
        </w:tc>
      </w:tr>
      <w:tr w:rsidR="003C34BA" w:rsidTr="005F4B0D">
        <w:tblPrEx>
          <w:tblCellMar>
            <w:top w:w="0" w:type="dxa"/>
            <w:bottom w:w="0" w:type="dxa"/>
          </w:tblCellMar>
        </w:tblPrEx>
        <w:tc>
          <w:tcPr>
            <w:tcW w:w="2032" w:type="dxa"/>
            <w:tcBorders>
              <w:top w:val="nil"/>
              <w:left w:val="nil"/>
              <w:bottom w:val="double" w:sz="6" w:space="2" w:color="auto"/>
              <w:right w:val="nil"/>
            </w:tcBorders>
          </w:tcPr>
          <w:p w:rsidR="003C34BA" w:rsidRDefault="003C34BA" w:rsidP="005F4B0D">
            <w:pPr>
              <w:autoSpaceDE w:val="0"/>
              <w:autoSpaceDN w:val="0"/>
              <w:adjustRightInd w:val="0"/>
              <w:jc w:val="center"/>
              <w:rPr>
                <w:rFonts w:ascii="Arial" w:hAnsi="Arial" w:cs="Arial"/>
                <w:sz w:val="20"/>
                <w:szCs w:val="20"/>
              </w:rPr>
            </w:pPr>
            <w:r>
              <w:rPr>
                <w:rFonts w:ascii="Arial" w:hAnsi="Arial" w:cs="Arial"/>
                <w:sz w:val="20"/>
                <w:szCs w:val="20"/>
              </w:rPr>
              <w:t>Variable</w:t>
            </w:r>
          </w:p>
        </w:tc>
        <w:tc>
          <w:tcPr>
            <w:tcW w:w="1085" w:type="dxa"/>
            <w:tcBorders>
              <w:top w:val="nil"/>
              <w:left w:val="nil"/>
              <w:bottom w:val="double" w:sz="6" w:space="2"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Coefficient</w:t>
            </w:r>
          </w:p>
        </w:tc>
        <w:tc>
          <w:tcPr>
            <w:tcW w:w="1193" w:type="dxa"/>
            <w:tcBorders>
              <w:top w:val="nil"/>
              <w:left w:val="nil"/>
              <w:bottom w:val="double" w:sz="6" w:space="2"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Std. Error</w:t>
            </w:r>
          </w:p>
        </w:tc>
        <w:tc>
          <w:tcPr>
            <w:tcW w:w="1194" w:type="dxa"/>
            <w:tcBorders>
              <w:top w:val="nil"/>
              <w:left w:val="nil"/>
              <w:bottom w:val="double" w:sz="6" w:space="2"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t-Statistic</w:t>
            </w:r>
          </w:p>
        </w:tc>
        <w:tc>
          <w:tcPr>
            <w:tcW w:w="976" w:type="dxa"/>
            <w:tcBorders>
              <w:top w:val="nil"/>
              <w:left w:val="nil"/>
              <w:bottom w:val="double" w:sz="6" w:space="2"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 xml:space="preserve">Prob.  </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jc w:val="center"/>
              <w:rPr>
                <w:rFonts w:ascii="Arial" w:hAnsi="Arial" w:cs="Arial"/>
                <w:sz w:val="20"/>
                <w:szCs w:val="20"/>
              </w:rPr>
            </w:pPr>
            <w:r>
              <w:rPr>
                <w:rFonts w:ascii="Arial" w:hAnsi="Arial" w:cs="Arial"/>
                <w:sz w:val="20"/>
                <w:szCs w:val="20"/>
              </w:rPr>
              <w:t>C</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21.40251</w:t>
            </w:r>
          </w:p>
        </w:tc>
        <w:tc>
          <w:tcPr>
            <w:tcW w:w="1193"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1.496947</w:t>
            </w:r>
          </w:p>
        </w:tc>
        <w:tc>
          <w:tcPr>
            <w:tcW w:w="1194"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14.29744</w:t>
            </w:r>
          </w:p>
        </w:tc>
        <w:tc>
          <w:tcPr>
            <w:tcW w:w="976"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0.0000</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jc w:val="center"/>
              <w:rPr>
                <w:rFonts w:ascii="Arial" w:hAnsi="Arial" w:cs="Arial"/>
                <w:sz w:val="20"/>
                <w:szCs w:val="20"/>
              </w:rPr>
            </w:pPr>
            <w:r>
              <w:rPr>
                <w:rFonts w:ascii="Arial" w:hAnsi="Arial" w:cs="Arial"/>
                <w:sz w:val="20"/>
                <w:szCs w:val="20"/>
              </w:rPr>
              <w:t>D1</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-48.21987</w:t>
            </w:r>
          </w:p>
        </w:tc>
        <w:tc>
          <w:tcPr>
            <w:tcW w:w="1193"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6.871544</w:t>
            </w:r>
          </w:p>
        </w:tc>
        <w:tc>
          <w:tcPr>
            <w:tcW w:w="1194"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-7.017328</w:t>
            </w:r>
          </w:p>
        </w:tc>
        <w:tc>
          <w:tcPr>
            <w:tcW w:w="976"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0.0000</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jc w:val="center"/>
              <w:rPr>
                <w:rFonts w:ascii="Arial" w:hAnsi="Arial" w:cs="Arial"/>
                <w:sz w:val="20"/>
                <w:szCs w:val="20"/>
              </w:rPr>
            </w:pPr>
            <w:r>
              <w:rPr>
                <w:rFonts w:ascii="Arial" w:hAnsi="Arial" w:cs="Arial"/>
                <w:sz w:val="20"/>
                <w:szCs w:val="20"/>
              </w:rPr>
              <w:t>X2</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0.013879</w:t>
            </w:r>
          </w:p>
        </w:tc>
        <w:tc>
          <w:tcPr>
            <w:tcW w:w="1193"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0.003207</w:t>
            </w:r>
          </w:p>
        </w:tc>
        <w:tc>
          <w:tcPr>
            <w:tcW w:w="1194"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4.328062</w:t>
            </w:r>
          </w:p>
        </w:tc>
        <w:tc>
          <w:tcPr>
            <w:tcW w:w="976"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0.0008</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jc w:val="center"/>
              <w:rPr>
                <w:rFonts w:ascii="Arial" w:hAnsi="Arial" w:cs="Arial"/>
                <w:sz w:val="20"/>
                <w:szCs w:val="20"/>
              </w:rPr>
            </w:pPr>
            <w:r>
              <w:rPr>
                <w:rFonts w:ascii="Arial" w:hAnsi="Arial" w:cs="Arial"/>
                <w:sz w:val="20"/>
                <w:szCs w:val="20"/>
              </w:rPr>
              <w:t>X3</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0.073146</w:t>
            </w:r>
          </w:p>
        </w:tc>
        <w:tc>
          <w:tcPr>
            <w:tcW w:w="1193"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0.203805</w:t>
            </w:r>
          </w:p>
        </w:tc>
        <w:tc>
          <w:tcPr>
            <w:tcW w:w="1194"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0.358902</w:t>
            </w:r>
          </w:p>
        </w:tc>
        <w:tc>
          <w:tcPr>
            <w:tcW w:w="976"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0.7254</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jc w:val="center"/>
              <w:rPr>
                <w:rFonts w:ascii="Arial" w:hAnsi="Arial" w:cs="Arial"/>
                <w:sz w:val="20"/>
                <w:szCs w:val="20"/>
              </w:rPr>
            </w:pPr>
            <w:r>
              <w:rPr>
                <w:rFonts w:ascii="Arial" w:hAnsi="Arial" w:cs="Arial"/>
                <w:sz w:val="20"/>
                <w:szCs w:val="20"/>
              </w:rPr>
              <w:t>X4</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1.389753</w:t>
            </w:r>
          </w:p>
        </w:tc>
        <w:tc>
          <w:tcPr>
            <w:tcW w:w="1193"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0.130197</w:t>
            </w:r>
          </w:p>
        </w:tc>
        <w:tc>
          <w:tcPr>
            <w:tcW w:w="1194"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10.67423</w:t>
            </w:r>
          </w:p>
        </w:tc>
        <w:tc>
          <w:tcPr>
            <w:tcW w:w="976"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0.0000</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jc w:val="center"/>
              <w:rPr>
                <w:rFonts w:ascii="Arial" w:hAnsi="Arial" w:cs="Arial"/>
                <w:sz w:val="20"/>
                <w:szCs w:val="20"/>
              </w:rPr>
            </w:pPr>
            <w:r>
              <w:rPr>
                <w:rFonts w:ascii="Arial" w:hAnsi="Arial" w:cs="Arial"/>
                <w:sz w:val="20"/>
                <w:szCs w:val="20"/>
              </w:rPr>
              <w:t>X4*D1</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1.540792</w:t>
            </w:r>
          </w:p>
        </w:tc>
        <w:tc>
          <w:tcPr>
            <w:tcW w:w="1193"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0.325005</w:t>
            </w:r>
          </w:p>
        </w:tc>
        <w:tc>
          <w:tcPr>
            <w:tcW w:w="1194"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4.740818</w:t>
            </w:r>
          </w:p>
        </w:tc>
        <w:tc>
          <w:tcPr>
            <w:tcW w:w="976"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0.0004</w:t>
            </w:r>
          </w:p>
        </w:tc>
      </w:tr>
      <w:tr w:rsidR="003C34BA" w:rsidTr="005F4B0D">
        <w:tblPrEx>
          <w:tblCellMar>
            <w:top w:w="0" w:type="dxa"/>
            <w:bottom w:w="0" w:type="dxa"/>
          </w:tblCellMar>
        </w:tblPrEx>
        <w:tc>
          <w:tcPr>
            <w:tcW w:w="2032" w:type="dxa"/>
            <w:tcBorders>
              <w:top w:val="nil"/>
              <w:left w:val="nil"/>
              <w:bottom w:val="double" w:sz="6" w:space="2" w:color="auto"/>
              <w:right w:val="nil"/>
            </w:tcBorders>
          </w:tcPr>
          <w:p w:rsidR="003C34BA" w:rsidRDefault="003C34BA" w:rsidP="005F4B0D">
            <w:pPr>
              <w:autoSpaceDE w:val="0"/>
              <w:autoSpaceDN w:val="0"/>
              <w:adjustRightInd w:val="0"/>
              <w:jc w:val="center"/>
              <w:rPr>
                <w:rFonts w:ascii="Arial" w:hAnsi="Arial" w:cs="Arial"/>
                <w:sz w:val="20"/>
                <w:szCs w:val="20"/>
              </w:rPr>
            </w:pPr>
            <w:r>
              <w:rPr>
                <w:rFonts w:ascii="Arial" w:hAnsi="Arial" w:cs="Arial"/>
                <w:sz w:val="20"/>
                <w:szCs w:val="20"/>
              </w:rPr>
              <w:t>X2*D1</w:t>
            </w:r>
          </w:p>
        </w:tc>
        <w:tc>
          <w:tcPr>
            <w:tcW w:w="1085" w:type="dxa"/>
            <w:tcBorders>
              <w:top w:val="nil"/>
              <w:left w:val="nil"/>
              <w:bottom w:val="double" w:sz="6" w:space="2"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0.022406</w:t>
            </w:r>
          </w:p>
        </w:tc>
        <w:tc>
          <w:tcPr>
            <w:tcW w:w="1193" w:type="dxa"/>
            <w:tcBorders>
              <w:top w:val="nil"/>
              <w:left w:val="nil"/>
              <w:bottom w:val="double" w:sz="6" w:space="2"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0.005781</w:t>
            </w:r>
          </w:p>
        </w:tc>
        <w:tc>
          <w:tcPr>
            <w:tcW w:w="1194" w:type="dxa"/>
            <w:tcBorders>
              <w:top w:val="nil"/>
              <w:left w:val="nil"/>
              <w:bottom w:val="double" w:sz="6" w:space="2"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3.876038</w:t>
            </w:r>
          </w:p>
        </w:tc>
        <w:tc>
          <w:tcPr>
            <w:tcW w:w="976" w:type="dxa"/>
            <w:tcBorders>
              <w:top w:val="nil"/>
              <w:left w:val="nil"/>
              <w:bottom w:val="double" w:sz="6" w:space="2"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0.0019</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R-squared</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0.996366</w:t>
            </w:r>
          </w:p>
        </w:tc>
        <w:tc>
          <w:tcPr>
            <w:tcW w:w="2387" w:type="dxa"/>
            <w:gridSpan w:val="2"/>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 xml:space="preserve">    Mean dependent var</w:t>
            </w:r>
          </w:p>
        </w:tc>
        <w:tc>
          <w:tcPr>
            <w:tcW w:w="976"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83.86000</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Adjusted R-squared</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0.994688</w:t>
            </w:r>
          </w:p>
        </w:tc>
        <w:tc>
          <w:tcPr>
            <w:tcW w:w="2387" w:type="dxa"/>
            <w:gridSpan w:val="2"/>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 xml:space="preserve">    S.D. dependent var</w:t>
            </w:r>
          </w:p>
        </w:tc>
        <w:tc>
          <w:tcPr>
            <w:tcW w:w="976"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28.97771</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S.E. of regression</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2.111972</w:t>
            </w:r>
          </w:p>
        </w:tc>
        <w:tc>
          <w:tcPr>
            <w:tcW w:w="2387" w:type="dxa"/>
            <w:gridSpan w:val="2"/>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 xml:space="preserve">    Akaike info criterion</w:t>
            </w:r>
          </w:p>
        </w:tc>
        <w:tc>
          <w:tcPr>
            <w:tcW w:w="976"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4.602338</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Sum squared resid</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57.98554</w:t>
            </w:r>
          </w:p>
        </w:tc>
        <w:tc>
          <w:tcPr>
            <w:tcW w:w="2387" w:type="dxa"/>
            <w:gridSpan w:val="2"/>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 xml:space="preserve">    Schwarz criterion</w:t>
            </w:r>
          </w:p>
        </w:tc>
        <w:tc>
          <w:tcPr>
            <w:tcW w:w="976"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4.950845</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Log likelihood</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-39.02338</w:t>
            </w:r>
          </w:p>
        </w:tc>
        <w:tc>
          <w:tcPr>
            <w:tcW w:w="2387" w:type="dxa"/>
            <w:gridSpan w:val="2"/>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 xml:space="preserve">    F-statistic</w:t>
            </w:r>
          </w:p>
        </w:tc>
        <w:tc>
          <w:tcPr>
            <w:tcW w:w="976"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593.9815</w:t>
            </w:r>
          </w:p>
        </w:tc>
      </w:tr>
      <w:tr w:rsidR="003C34BA" w:rsidTr="005F4B0D">
        <w:tblPrEx>
          <w:tblCellMar>
            <w:top w:w="0" w:type="dxa"/>
            <w:bottom w:w="0" w:type="dxa"/>
          </w:tblCellMar>
        </w:tblPrEx>
        <w:tc>
          <w:tcPr>
            <w:tcW w:w="2032" w:type="dxa"/>
            <w:tcBorders>
              <w:top w:val="nil"/>
              <w:left w:val="nil"/>
              <w:bottom w:val="double" w:sz="6" w:space="0" w:color="auto"/>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Durbin-Watson stat</w:t>
            </w:r>
          </w:p>
        </w:tc>
        <w:tc>
          <w:tcPr>
            <w:tcW w:w="1085" w:type="dxa"/>
            <w:tcBorders>
              <w:top w:val="nil"/>
              <w:left w:val="nil"/>
              <w:bottom w:val="double" w:sz="6" w:space="0"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2.233771</w:t>
            </w:r>
          </w:p>
        </w:tc>
        <w:tc>
          <w:tcPr>
            <w:tcW w:w="2387" w:type="dxa"/>
            <w:gridSpan w:val="2"/>
            <w:tcBorders>
              <w:top w:val="nil"/>
              <w:left w:val="nil"/>
              <w:bottom w:val="double" w:sz="6" w:space="0" w:color="auto"/>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 xml:space="preserve">    Prob(F-statistic)</w:t>
            </w:r>
          </w:p>
        </w:tc>
        <w:tc>
          <w:tcPr>
            <w:tcW w:w="976" w:type="dxa"/>
            <w:tcBorders>
              <w:top w:val="nil"/>
              <w:left w:val="nil"/>
              <w:bottom w:val="double" w:sz="6" w:space="0"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0.000000</w:t>
            </w:r>
          </w:p>
        </w:tc>
      </w:tr>
    </w:tbl>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Pr="00FF2C78" w:rsidRDefault="003C34BA" w:rsidP="003C34BA">
      <w:pPr>
        <w:autoSpaceDE w:val="0"/>
        <w:autoSpaceDN w:val="0"/>
        <w:adjustRightInd w:val="0"/>
        <w:jc w:val="both"/>
      </w:pPr>
      <w:r>
        <w:t xml:space="preserve">  </w:t>
      </w:r>
    </w:p>
    <w:p w:rsidR="003C34BA" w:rsidRPr="00FF2C78"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ind w:left="36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autoSpaceDE w:val="0"/>
        <w:autoSpaceDN w:val="0"/>
        <w:adjustRightInd w:val="0"/>
        <w:jc w:val="both"/>
      </w:pPr>
    </w:p>
    <w:p w:rsidR="003C34BA" w:rsidRDefault="003C34BA" w:rsidP="003C34BA">
      <w:pPr>
        <w:numPr>
          <w:ilvl w:val="0"/>
          <w:numId w:val="1"/>
        </w:numPr>
        <w:autoSpaceDE w:val="0"/>
        <w:autoSpaceDN w:val="0"/>
        <w:adjustRightInd w:val="0"/>
        <w:jc w:val="both"/>
      </w:pPr>
      <w:r>
        <w:t>[</w:t>
      </w:r>
      <w:proofErr w:type="gramStart"/>
      <w:r>
        <w:t>10]Explain</w:t>
      </w:r>
      <w:proofErr w:type="gramEnd"/>
      <w:r>
        <w:t xml:space="preserve"> the meaning of each estimated coefficient and R</w:t>
      </w:r>
      <w:r>
        <w:rPr>
          <w:vertAlign w:val="superscript"/>
        </w:rPr>
        <w:t>2</w:t>
      </w:r>
      <w:r>
        <w:t xml:space="preserve"> in the above model.</w:t>
      </w:r>
    </w:p>
    <w:p w:rsidR="003C34BA" w:rsidRDefault="003C34BA" w:rsidP="003C34BA">
      <w:pPr>
        <w:numPr>
          <w:ilvl w:val="0"/>
          <w:numId w:val="1"/>
        </w:numPr>
        <w:autoSpaceDE w:val="0"/>
        <w:autoSpaceDN w:val="0"/>
        <w:adjustRightInd w:val="0"/>
        <w:jc w:val="both"/>
      </w:pPr>
      <w:r>
        <w:t>[</w:t>
      </w:r>
      <w:proofErr w:type="gramStart"/>
      <w:r>
        <w:t>10]Test</w:t>
      </w:r>
      <w:proofErr w:type="gramEnd"/>
      <w:r>
        <w:t xml:space="preserve"> for significance of each independent variable and test for overall significance of the model.</w:t>
      </w:r>
    </w:p>
    <w:p w:rsidR="003C34BA" w:rsidRDefault="003C34BA" w:rsidP="003C34BA">
      <w:pPr>
        <w:numPr>
          <w:ilvl w:val="0"/>
          <w:numId w:val="1"/>
        </w:numPr>
        <w:autoSpaceDE w:val="0"/>
        <w:autoSpaceDN w:val="0"/>
        <w:adjustRightInd w:val="0"/>
        <w:jc w:val="both"/>
      </w:pPr>
      <w:r>
        <w:t>[</w:t>
      </w:r>
      <w:proofErr w:type="gramStart"/>
      <w:r>
        <w:t>15]Conduct</w:t>
      </w:r>
      <w:proofErr w:type="gramEnd"/>
      <w:r>
        <w:t xml:space="preserve"> the test of autocorrelation in the model using the information above. State clearly the conditions to apply this test? If those conditions are not met, name other tests you can use instead.</w:t>
      </w:r>
    </w:p>
    <w:p w:rsidR="003C34BA" w:rsidRDefault="003C34BA" w:rsidP="003C34BA">
      <w:pPr>
        <w:numPr>
          <w:ilvl w:val="0"/>
          <w:numId w:val="1"/>
        </w:numPr>
        <w:autoSpaceDE w:val="0"/>
        <w:autoSpaceDN w:val="0"/>
        <w:adjustRightInd w:val="0"/>
        <w:jc w:val="both"/>
      </w:pPr>
      <w:r>
        <w:lastRenderedPageBreak/>
        <w:t>[</w:t>
      </w:r>
      <w:proofErr w:type="gramStart"/>
      <w:r>
        <w:t>10]When</w:t>
      </w:r>
      <w:proofErr w:type="gramEnd"/>
      <w:r>
        <w:t xml:space="preserve"> GNP increases by 1 bil USD (other variables unchanged), what is the confidence interval of the difference in the changing levels of defense budget between the cases of there are more than 100,000 or fewer than 100,000 troops involved in the military conflict? </w:t>
      </w:r>
    </w:p>
    <w:p w:rsidR="003C34BA" w:rsidRDefault="003C34BA" w:rsidP="003C34BA">
      <w:pPr>
        <w:numPr>
          <w:ilvl w:val="0"/>
          <w:numId w:val="1"/>
        </w:numPr>
        <w:autoSpaceDE w:val="0"/>
        <w:autoSpaceDN w:val="0"/>
        <w:adjustRightInd w:val="0"/>
        <w:jc w:val="both"/>
      </w:pPr>
      <w:r>
        <w:t>[</w:t>
      </w:r>
      <w:proofErr w:type="gramStart"/>
      <w:r>
        <w:t>20]For</w:t>
      </w:r>
      <w:proofErr w:type="gramEnd"/>
      <w:r>
        <w:t xml:space="preserve"> the case when there are fewer than 100,000 troops involving in the conflict (this condition indicates that we are concerning on the coefficients of X2 and X4 only), if we simultaneously increase X2 and X4 by 1 billions USD, test the proposition that the defense budget will increase 1.4 billions USD. What is the confidence interval for the increase in the level of defense budget in this case? (The covariance between two estimated coefficients of 2 variables X2 and X4 is -0.00036).</w:t>
      </w:r>
    </w:p>
    <w:p w:rsidR="003C34BA" w:rsidRDefault="003C34BA" w:rsidP="003C34BA">
      <w:pPr>
        <w:numPr>
          <w:ilvl w:val="0"/>
          <w:numId w:val="1"/>
        </w:numPr>
        <w:autoSpaceDE w:val="0"/>
        <w:autoSpaceDN w:val="0"/>
        <w:adjustRightInd w:val="0"/>
        <w:jc w:val="both"/>
      </w:pPr>
      <w:r>
        <w:t>[</w:t>
      </w:r>
      <w:proofErr w:type="gramStart"/>
      <w:r>
        <w:t>15]Do</w:t>
      </w:r>
      <w:proofErr w:type="gramEnd"/>
      <w:r>
        <w:t xml:space="preserve"> you think that the military budget does not depend on the number of troops involving in the conflict given that if you regress Y on X2, X3 and X4 (with intercept), you get R</w:t>
      </w:r>
      <w:r>
        <w:rPr>
          <w:vertAlign w:val="superscript"/>
        </w:rPr>
        <w:t>2</w:t>
      </w:r>
      <w:r>
        <w:t>=0.971 and RSS=461.28?</w:t>
      </w:r>
    </w:p>
    <w:p w:rsidR="003C34BA" w:rsidRPr="003C34BA" w:rsidRDefault="003C34BA" w:rsidP="000E1977">
      <w:pPr>
        <w:numPr>
          <w:ilvl w:val="0"/>
          <w:numId w:val="1"/>
        </w:numPr>
        <w:autoSpaceDE w:val="0"/>
        <w:autoSpaceDN w:val="0"/>
        <w:adjustRightInd w:val="0"/>
        <w:jc w:val="both"/>
        <w:rPr>
          <w:b/>
        </w:rPr>
      </w:pPr>
      <w:r>
        <w:t>[</w:t>
      </w:r>
      <w:proofErr w:type="gramStart"/>
      <w:r>
        <w:t>20]Given</w:t>
      </w:r>
      <w:proofErr w:type="gramEnd"/>
      <w:r>
        <w:t xml:space="preserve"> the information below, test for all possible problems in the model 1 above. In each test specify clearly null and alternative hypothesis and conclusion about the problem. </w:t>
      </w:r>
    </w:p>
    <w:p w:rsidR="003C34BA" w:rsidRDefault="003C34BA" w:rsidP="003C34BA">
      <w:pPr>
        <w:autoSpaceDE w:val="0"/>
        <w:autoSpaceDN w:val="0"/>
        <w:adjustRightInd w:val="0"/>
        <w:ind w:left="720"/>
        <w:jc w:val="both"/>
      </w:pPr>
    </w:p>
    <w:p w:rsidR="003C34BA" w:rsidRPr="003C34BA" w:rsidRDefault="003C34BA" w:rsidP="003C34BA">
      <w:pPr>
        <w:autoSpaceDE w:val="0"/>
        <w:autoSpaceDN w:val="0"/>
        <w:adjustRightInd w:val="0"/>
        <w:ind w:left="720"/>
        <w:jc w:val="both"/>
        <w:rPr>
          <w:b/>
        </w:rPr>
      </w:pPr>
      <w:r w:rsidRPr="003C34BA">
        <w:rPr>
          <w:b/>
        </w:rPr>
        <w:t>Result (1)</w:t>
      </w:r>
    </w:p>
    <w:p w:rsidR="003C34BA" w:rsidRDefault="003C34BA" w:rsidP="003C34BA">
      <w:pPr>
        <w:autoSpaceDE w:val="0"/>
        <w:autoSpaceDN w:val="0"/>
        <w:adjustRightInd w:val="0"/>
        <w:ind w:left="1440" w:firstLine="720"/>
        <w:jc w:val="both"/>
      </w:pPr>
      <w:r w:rsidRPr="00C91E05">
        <w:rPr>
          <w:noProof/>
        </w:rPr>
        <w:drawing>
          <wp:inline distT="0" distB="0" distL="0" distR="0">
            <wp:extent cx="377190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1900" cy="2095500"/>
                    </a:xfrm>
                    <a:prstGeom prst="rect">
                      <a:avLst/>
                    </a:prstGeom>
                    <a:noFill/>
                    <a:ln>
                      <a:noFill/>
                    </a:ln>
                  </pic:spPr>
                </pic:pic>
              </a:graphicData>
            </a:graphic>
          </wp:inline>
        </w:drawing>
      </w:r>
    </w:p>
    <w:p w:rsidR="003C34BA" w:rsidRPr="00144BE7" w:rsidRDefault="003C34BA" w:rsidP="003C34BA">
      <w:pPr>
        <w:autoSpaceDE w:val="0"/>
        <w:autoSpaceDN w:val="0"/>
        <w:adjustRightInd w:val="0"/>
        <w:ind w:left="360"/>
        <w:jc w:val="both"/>
        <w:rPr>
          <w:b/>
        </w:rPr>
      </w:pPr>
      <w:r w:rsidRPr="00144BE7">
        <w:rPr>
          <w:b/>
        </w:rPr>
        <w:tab/>
        <w:t>Result (2)</w:t>
      </w:r>
    </w:p>
    <w:p w:rsidR="003C34BA" w:rsidRDefault="003C34BA" w:rsidP="003C34BA">
      <w:pPr>
        <w:autoSpaceDE w:val="0"/>
        <w:autoSpaceDN w:val="0"/>
        <w:adjustRightInd w:val="0"/>
        <w:ind w:left="360"/>
        <w:jc w:val="both"/>
      </w:pPr>
    </w:p>
    <w:tbl>
      <w:tblPr>
        <w:tblW w:w="0" w:type="auto"/>
        <w:tblInd w:w="1440" w:type="dxa"/>
        <w:tblLayout w:type="fixed"/>
        <w:tblCellMar>
          <w:left w:w="30" w:type="dxa"/>
          <w:right w:w="30" w:type="dxa"/>
        </w:tblCellMar>
        <w:tblLook w:val="0000" w:firstRow="0" w:lastRow="0" w:firstColumn="0" w:lastColumn="0" w:noHBand="0" w:noVBand="0"/>
      </w:tblPr>
      <w:tblGrid>
        <w:gridCol w:w="2032"/>
        <w:gridCol w:w="1085"/>
        <w:gridCol w:w="1193"/>
        <w:gridCol w:w="976"/>
      </w:tblGrid>
      <w:tr w:rsidR="003C34BA" w:rsidTr="005F4B0D">
        <w:tblPrEx>
          <w:tblCellMar>
            <w:top w:w="0" w:type="dxa"/>
            <w:bottom w:w="0" w:type="dxa"/>
          </w:tblCellMar>
        </w:tblPrEx>
        <w:tc>
          <w:tcPr>
            <w:tcW w:w="5286" w:type="dxa"/>
            <w:gridSpan w:val="4"/>
            <w:tcBorders>
              <w:top w:val="nil"/>
              <w:left w:val="nil"/>
              <w:bottom w:val="double" w:sz="6" w:space="2" w:color="auto"/>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White Heteroskedasticity Test: (No cross term)</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F-statistic</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2.379399</w:t>
            </w:r>
          </w:p>
        </w:tc>
        <w:tc>
          <w:tcPr>
            <w:tcW w:w="1193"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 xml:space="preserve">   Probability</w:t>
            </w:r>
          </w:p>
        </w:tc>
        <w:tc>
          <w:tcPr>
            <w:tcW w:w="976"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0.114212</w:t>
            </w:r>
          </w:p>
        </w:tc>
      </w:tr>
      <w:tr w:rsidR="003C34BA" w:rsidTr="005F4B0D">
        <w:tblPrEx>
          <w:tblCellMar>
            <w:top w:w="0" w:type="dxa"/>
            <w:bottom w:w="0" w:type="dxa"/>
          </w:tblCellMar>
        </w:tblPrEx>
        <w:tc>
          <w:tcPr>
            <w:tcW w:w="2032" w:type="dxa"/>
            <w:tcBorders>
              <w:top w:val="nil"/>
              <w:left w:val="nil"/>
              <w:bottom w:val="double" w:sz="6" w:space="0" w:color="auto"/>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Obs*R-squared</w:t>
            </w:r>
          </w:p>
        </w:tc>
        <w:tc>
          <w:tcPr>
            <w:tcW w:w="1085" w:type="dxa"/>
            <w:tcBorders>
              <w:top w:val="nil"/>
              <w:left w:val="nil"/>
              <w:bottom w:val="double" w:sz="6" w:space="0"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15.31799</w:t>
            </w:r>
          </w:p>
        </w:tc>
        <w:tc>
          <w:tcPr>
            <w:tcW w:w="1193" w:type="dxa"/>
            <w:tcBorders>
              <w:top w:val="nil"/>
              <w:left w:val="nil"/>
              <w:bottom w:val="double" w:sz="6" w:space="0" w:color="auto"/>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 xml:space="preserve">   Probability</w:t>
            </w:r>
          </w:p>
        </w:tc>
        <w:tc>
          <w:tcPr>
            <w:tcW w:w="976" w:type="dxa"/>
            <w:tcBorders>
              <w:top w:val="nil"/>
              <w:left w:val="nil"/>
              <w:bottom w:val="double" w:sz="6" w:space="0"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0.168397</w:t>
            </w:r>
          </w:p>
        </w:tc>
      </w:tr>
    </w:tbl>
    <w:p w:rsidR="003C34BA" w:rsidRDefault="003C34BA" w:rsidP="003C34BA">
      <w:pPr>
        <w:autoSpaceDE w:val="0"/>
        <w:autoSpaceDN w:val="0"/>
        <w:adjustRightInd w:val="0"/>
        <w:ind w:left="360"/>
        <w:jc w:val="both"/>
      </w:pPr>
    </w:p>
    <w:p w:rsidR="003C34BA" w:rsidRPr="001F28D8" w:rsidRDefault="003C34BA" w:rsidP="003C34BA">
      <w:pPr>
        <w:autoSpaceDE w:val="0"/>
        <w:autoSpaceDN w:val="0"/>
        <w:adjustRightInd w:val="0"/>
        <w:ind w:left="360"/>
        <w:jc w:val="both"/>
        <w:rPr>
          <w:b/>
        </w:rPr>
      </w:pPr>
      <w:r w:rsidRPr="001F28D8">
        <w:rPr>
          <w:b/>
        </w:rPr>
        <w:tab/>
        <w:t>Result (3)</w:t>
      </w:r>
    </w:p>
    <w:p w:rsidR="003C34BA" w:rsidRDefault="003C34BA" w:rsidP="003C34BA">
      <w:pPr>
        <w:autoSpaceDE w:val="0"/>
        <w:autoSpaceDN w:val="0"/>
        <w:adjustRightInd w:val="0"/>
        <w:ind w:left="360"/>
        <w:jc w:val="both"/>
      </w:pPr>
      <w:r>
        <w:t xml:space="preserve">  </w:t>
      </w:r>
    </w:p>
    <w:tbl>
      <w:tblPr>
        <w:tblpPr w:leftFromText="180" w:rightFromText="180" w:vertAnchor="text" w:horzAnchor="page" w:tblpX="2419" w:tblpY="-5"/>
        <w:tblW w:w="0" w:type="auto"/>
        <w:tblLayout w:type="fixed"/>
        <w:tblCellMar>
          <w:left w:w="30" w:type="dxa"/>
          <w:right w:w="30" w:type="dxa"/>
        </w:tblCellMar>
        <w:tblLook w:val="0000" w:firstRow="0" w:lastRow="0" w:firstColumn="0" w:lastColumn="0" w:noHBand="0" w:noVBand="0"/>
      </w:tblPr>
      <w:tblGrid>
        <w:gridCol w:w="2032"/>
        <w:gridCol w:w="1085"/>
        <w:gridCol w:w="1233"/>
        <w:gridCol w:w="900"/>
      </w:tblGrid>
      <w:tr w:rsidR="003C34BA" w:rsidTr="005F4B0D">
        <w:tblPrEx>
          <w:tblCellMar>
            <w:top w:w="0" w:type="dxa"/>
            <w:bottom w:w="0" w:type="dxa"/>
          </w:tblCellMar>
        </w:tblPrEx>
        <w:tc>
          <w:tcPr>
            <w:tcW w:w="5250" w:type="dxa"/>
            <w:gridSpan w:val="4"/>
            <w:tcBorders>
              <w:top w:val="nil"/>
              <w:left w:val="nil"/>
              <w:bottom w:val="double" w:sz="6" w:space="2" w:color="auto"/>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Breusch-Godfrey Serial Correlation LM Test: AR(2)</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F-statistic</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1.950537</w:t>
            </w:r>
          </w:p>
        </w:tc>
        <w:tc>
          <w:tcPr>
            <w:tcW w:w="1233"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Probability</w:t>
            </w:r>
          </w:p>
        </w:tc>
        <w:tc>
          <w:tcPr>
            <w:tcW w:w="900"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0.188349</w:t>
            </w:r>
          </w:p>
        </w:tc>
      </w:tr>
      <w:tr w:rsidR="003C34BA" w:rsidTr="005F4B0D">
        <w:tblPrEx>
          <w:tblCellMar>
            <w:top w:w="0" w:type="dxa"/>
            <w:bottom w:w="0" w:type="dxa"/>
          </w:tblCellMar>
        </w:tblPrEx>
        <w:tc>
          <w:tcPr>
            <w:tcW w:w="2032"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Obs*R-squared</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5.235963</w:t>
            </w:r>
          </w:p>
        </w:tc>
        <w:tc>
          <w:tcPr>
            <w:tcW w:w="1233"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Probability</w:t>
            </w:r>
          </w:p>
        </w:tc>
        <w:tc>
          <w:tcPr>
            <w:tcW w:w="900"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0.072950</w:t>
            </w:r>
          </w:p>
        </w:tc>
      </w:tr>
    </w:tbl>
    <w:p w:rsidR="003C34BA" w:rsidRDefault="003C34BA" w:rsidP="003C34BA">
      <w:pPr>
        <w:autoSpaceDE w:val="0"/>
        <w:autoSpaceDN w:val="0"/>
        <w:adjustRightInd w:val="0"/>
        <w:ind w:left="360"/>
        <w:jc w:val="both"/>
      </w:pPr>
      <w:r>
        <w:t xml:space="preserve"> </w:t>
      </w:r>
      <w:r>
        <w:tab/>
      </w:r>
      <w:r>
        <w:tab/>
      </w:r>
    </w:p>
    <w:p w:rsidR="003C34BA" w:rsidRDefault="003C34BA" w:rsidP="003C34BA">
      <w:pPr>
        <w:autoSpaceDE w:val="0"/>
        <w:autoSpaceDN w:val="0"/>
        <w:adjustRightInd w:val="0"/>
        <w:ind w:left="360"/>
        <w:jc w:val="both"/>
      </w:pPr>
      <w:r>
        <w:t xml:space="preserve"> </w:t>
      </w:r>
    </w:p>
    <w:p w:rsidR="003C34BA" w:rsidRDefault="003C34BA" w:rsidP="003C34BA">
      <w:pPr>
        <w:autoSpaceDE w:val="0"/>
        <w:autoSpaceDN w:val="0"/>
        <w:adjustRightInd w:val="0"/>
        <w:ind w:left="360"/>
        <w:jc w:val="both"/>
      </w:pPr>
    </w:p>
    <w:p w:rsidR="003C34BA" w:rsidRDefault="003C34BA" w:rsidP="003C34BA">
      <w:pPr>
        <w:autoSpaceDE w:val="0"/>
        <w:autoSpaceDN w:val="0"/>
        <w:adjustRightInd w:val="0"/>
        <w:ind w:left="360"/>
        <w:jc w:val="both"/>
      </w:pPr>
      <w:r>
        <w:tab/>
      </w:r>
    </w:p>
    <w:p w:rsidR="003C34BA" w:rsidRDefault="003C34BA" w:rsidP="003C34BA">
      <w:pPr>
        <w:autoSpaceDE w:val="0"/>
        <w:autoSpaceDN w:val="0"/>
        <w:adjustRightInd w:val="0"/>
        <w:rPr>
          <w:b/>
        </w:rPr>
      </w:pPr>
      <w:r>
        <w:tab/>
      </w:r>
      <w:r>
        <w:rPr>
          <w:b/>
        </w:rPr>
        <w:t>Result (4</w:t>
      </w:r>
      <w:r w:rsidRPr="00B930C6">
        <w:rPr>
          <w:b/>
        </w:rPr>
        <w:t>)</w:t>
      </w:r>
    </w:p>
    <w:p w:rsidR="003C34BA" w:rsidRPr="00B930C6" w:rsidRDefault="003C34BA" w:rsidP="003C34BA">
      <w:pPr>
        <w:autoSpaceDE w:val="0"/>
        <w:autoSpaceDN w:val="0"/>
        <w:adjustRightInd w:val="0"/>
        <w:rPr>
          <w:b/>
        </w:rPr>
      </w:pPr>
    </w:p>
    <w:tbl>
      <w:tblPr>
        <w:tblW w:w="0" w:type="auto"/>
        <w:tblInd w:w="1470" w:type="dxa"/>
        <w:tblLayout w:type="fixed"/>
        <w:tblCellMar>
          <w:left w:w="30" w:type="dxa"/>
          <w:right w:w="30" w:type="dxa"/>
        </w:tblCellMar>
        <w:tblLook w:val="0000" w:firstRow="0" w:lastRow="0" w:firstColumn="0" w:lastColumn="0" w:noHBand="0" w:noVBand="0"/>
      </w:tblPr>
      <w:tblGrid>
        <w:gridCol w:w="1822"/>
        <w:gridCol w:w="1085"/>
        <w:gridCol w:w="1193"/>
        <w:gridCol w:w="1120"/>
      </w:tblGrid>
      <w:tr w:rsidR="003C34BA" w:rsidTr="005F4B0D">
        <w:tblPrEx>
          <w:tblCellMar>
            <w:top w:w="0" w:type="dxa"/>
            <w:bottom w:w="0" w:type="dxa"/>
          </w:tblCellMar>
        </w:tblPrEx>
        <w:tc>
          <w:tcPr>
            <w:tcW w:w="5220" w:type="dxa"/>
            <w:gridSpan w:val="4"/>
            <w:tcBorders>
              <w:top w:val="nil"/>
              <w:left w:val="nil"/>
              <w:bottom w:val="double" w:sz="6" w:space="2" w:color="auto"/>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 xml:space="preserve">Ramsey RESET Test: </w:t>
            </w:r>
          </w:p>
        </w:tc>
      </w:tr>
      <w:tr w:rsidR="003C34BA" w:rsidTr="005F4B0D">
        <w:tblPrEx>
          <w:tblCellMar>
            <w:top w:w="0" w:type="dxa"/>
            <w:bottom w:w="0" w:type="dxa"/>
          </w:tblCellMar>
        </w:tblPrEx>
        <w:tc>
          <w:tcPr>
            <w:tcW w:w="1822"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F-statistic</w:t>
            </w:r>
          </w:p>
        </w:tc>
        <w:tc>
          <w:tcPr>
            <w:tcW w:w="1085"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2.110154</w:t>
            </w:r>
          </w:p>
        </w:tc>
        <w:tc>
          <w:tcPr>
            <w:tcW w:w="1193" w:type="dxa"/>
            <w:tcBorders>
              <w:top w:val="nil"/>
              <w:left w:val="nil"/>
              <w:bottom w:val="nil"/>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Probability</w:t>
            </w:r>
          </w:p>
        </w:tc>
        <w:tc>
          <w:tcPr>
            <w:tcW w:w="1120" w:type="dxa"/>
            <w:tcBorders>
              <w:top w:val="nil"/>
              <w:left w:val="nil"/>
              <w:bottom w:val="nil"/>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0.119102</w:t>
            </w:r>
          </w:p>
        </w:tc>
      </w:tr>
      <w:tr w:rsidR="003C34BA" w:rsidTr="005F4B0D">
        <w:tblPrEx>
          <w:tblCellMar>
            <w:top w:w="0" w:type="dxa"/>
            <w:bottom w:w="0" w:type="dxa"/>
          </w:tblCellMar>
        </w:tblPrEx>
        <w:tc>
          <w:tcPr>
            <w:tcW w:w="1822" w:type="dxa"/>
            <w:tcBorders>
              <w:top w:val="nil"/>
              <w:left w:val="nil"/>
              <w:bottom w:val="double" w:sz="6" w:space="0" w:color="auto"/>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Log likelihood ratio</w:t>
            </w:r>
          </w:p>
        </w:tc>
        <w:tc>
          <w:tcPr>
            <w:tcW w:w="1085" w:type="dxa"/>
            <w:tcBorders>
              <w:top w:val="nil"/>
              <w:left w:val="nil"/>
              <w:bottom w:val="double" w:sz="6" w:space="0"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7.432899</w:t>
            </w:r>
          </w:p>
        </w:tc>
        <w:tc>
          <w:tcPr>
            <w:tcW w:w="1193" w:type="dxa"/>
            <w:tcBorders>
              <w:top w:val="nil"/>
              <w:left w:val="nil"/>
              <w:bottom w:val="double" w:sz="6" w:space="0" w:color="auto"/>
              <w:right w:val="nil"/>
            </w:tcBorders>
          </w:tcPr>
          <w:p w:rsidR="003C34BA" w:rsidRDefault="003C34BA" w:rsidP="005F4B0D">
            <w:pPr>
              <w:autoSpaceDE w:val="0"/>
              <w:autoSpaceDN w:val="0"/>
              <w:adjustRightInd w:val="0"/>
              <w:rPr>
                <w:rFonts w:ascii="Arial" w:hAnsi="Arial" w:cs="Arial"/>
                <w:sz w:val="20"/>
                <w:szCs w:val="20"/>
              </w:rPr>
            </w:pPr>
            <w:r>
              <w:rPr>
                <w:rFonts w:ascii="Arial" w:hAnsi="Arial" w:cs="Arial"/>
                <w:sz w:val="20"/>
                <w:szCs w:val="20"/>
              </w:rPr>
              <w:t>Probability</w:t>
            </w:r>
          </w:p>
        </w:tc>
        <w:tc>
          <w:tcPr>
            <w:tcW w:w="1120" w:type="dxa"/>
            <w:tcBorders>
              <w:top w:val="nil"/>
              <w:left w:val="nil"/>
              <w:bottom w:val="double" w:sz="6" w:space="0" w:color="auto"/>
              <w:right w:val="nil"/>
            </w:tcBorders>
          </w:tcPr>
          <w:p w:rsidR="003C34BA" w:rsidRDefault="003C34BA" w:rsidP="005F4B0D">
            <w:pPr>
              <w:autoSpaceDE w:val="0"/>
              <w:autoSpaceDN w:val="0"/>
              <w:adjustRightInd w:val="0"/>
              <w:jc w:val="right"/>
              <w:rPr>
                <w:rFonts w:ascii="Arial" w:hAnsi="Arial" w:cs="Arial"/>
                <w:sz w:val="20"/>
                <w:szCs w:val="20"/>
              </w:rPr>
            </w:pPr>
            <w:r>
              <w:rPr>
                <w:rFonts w:ascii="Arial" w:hAnsi="Arial" w:cs="Arial"/>
                <w:sz w:val="20"/>
                <w:szCs w:val="20"/>
              </w:rPr>
              <w:t>0.059308</w:t>
            </w:r>
          </w:p>
        </w:tc>
      </w:tr>
    </w:tbl>
    <w:p w:rsidR="005E14D9" w:rsidRDefault="005E14D9"/>
    <w:p w:rsidR="00F02D4A" w:rsidRDefault="00F02D4A"/>
    <w:p w:rsidR="00F02D4A" w:rsidRDefault="00F02D4A" w:rsidP="00F02D4A">
      <w:pPr>
        <w:autoSpaceDE w:val="0"/>
        <w:autoSpaceDN w:val="0"/>
        <w:adjustRightInd w:val="0"/>
        <w:jc w:val="both"/>
      </w:pPr>
      <w:r w:rsidRPr="00576043">
        <w:rPr>
          <w:b/>
          <w:sz w:val="28"/>
          <w:szCs w:val="28"/>
        </w:rPr>
        <w:lastRenderedPageBreak/>
        <w:t xml:space="preserve">Problem </w:t>
      </w:r>
      <w:r>
        <w:rPr>
          <w:b/>
          <w:sz w:val="28"/>
          <w:szCs w:val="28"/>
        </w:rPr>
        <w:t>2</w:t>
      </w:r>
      <w:r w:rsidRPr="00576043">
        <w:rPr>
          <w:b/>
          <w:sz w:val="28"/>
          <w:szCs w:val="28"/>
        </w:rPr>
        <w:t>:</w:t>
      </w:r>
    </w:p>
    <w:p w:rsidR="00F02D4A" w:rsidRDefault="00F02D4A" w:rsidP="00F02D4A">
      <w:pPr>
        <w:autoSpaceDE w:val="0"/>
        <w:autoSpaceDN w:val="0"/>
        <w:adjustRightInd w:val="0"/>
        <w:jc w:val="both"/>
      </w:pPr>
      <w:r>
        <w:t>Let Y be the binary variable in which Y=1 if the country has the trade surplus (export is greater than import) and Y=0 if it has trade gap (import is greater). GDP is Gross Domestic Product and R is interest rate. Using the logistic regression, estimated model is given below:</w:t>
      </w:r>
    </w:p>
    <w:tbl>
      <w:tblPr>
        <w:tblW w:w="0" w:type="auto"/>
        <w:tblInd w:w="1500" w:type="dxa"/>
        <w:tblLayout w:type="fixed"/>
        <w:tblCellMar>
          <w:left w:w="30" w:type="dxa"/>
          <w:right w:w="30" w:type="dxa"/>
        </w:tblCellMar>
        <w:tblLook w:val="0000" w:firstRow="0" w:lastRow="0" w:firstColumn="0" w:lastColumn="0" w:noHBand="0" w:noVBand="0"/>
      </w:tblPr>
      <w:tblGrid>
        <w:gridCol w:w="2032"/>
        <w:gridCol w:w="1085"/>
        <w:gridCol w:w="1193"/>
        <w:gridCol w:w="1194"/>
        <w:gridCol w:w="976"/>
      </w:tblGrid>
      <w:tr w:rsidR="00F02D4A" w:rsidRPr="00323479" w:rsidTr="005F4B0D">
        <w:tblPrEx>
          <w:tblCellMar>
            <w:top w:w="0" w:type="dxa"/>
            <w:bottom w:w="0" w:type="dxa"/>
          </w:tblCellMar>
        </w:tblPrEx>
        <w:tc>
          <w:tcPr>
            <w:tcW w:w="6480" w:type="dxa"/>
            <w:gridSpan w:val="5"/>
            <w:tcBorders>
              <w:top w:val="nil"/>
              <w:left w:val="nil"/>
              <w:bottom w:val="nil"/>
              <w:right w:val="nil"/>
            </w:tcBorders>
          </w:tcPr>
          <w:p w:rsidR="00F02D4A" w:rsidRDefault="00F02D4A" w:rsidP="005F4B0D">
            <w:pPr>
              <w:autoSpaceDE w:val="0"/>
              <w:autoSpaceDN w:val="0"/>
              <w:adjustRightInd w:val="0"/>
              <w:rPr>
                <w:sz w:val="22"/>
                <w:szCs w:val="22"/>
              </w:rPr>
            </w:pPr>
          </w:p>
          <w:p w:rsidR="00F02D4A" w:rsidRPr="00323479" w:rsidRDefault="00F02D4A" w:rsidP="005F4B0D">
            <w:pPr>
              <w:autoSpaceDE w:val="0"/>
              <w:autoSpaceDN w:val="0"/>
              <w:adjustRightInd w:val="0"/>
              <w:rPr>
                <w:sz w:val="22"/>
                <w:szCs w:val="22"/>
              </w:rPr>
            </w:pPr>
            <w:r>
              <w:rPr>
                <w:sz w:val="22"/>
                <w:szCs w:val="22"/>
              </w:rPr>
              <w:t>Dependent Variable: Y</w:t>
            </w:r>
          </w:p>
        </w:tc>
      </w:tr>
      <w:tr w:rsidR="00F02D4A" w:rsidRPr="00323479" w:rsidTr="005F4B0D">
        <w:tblPrEx>
          <w:tblCellMar>
            <w:top w:w="0" w:type="dxa"/>
            <w:bottom w:w="0" w:type="dxa"/>
          </w:tblCellMar>
        </w:tblPrEx>
        <w:tc>
          <w:tcPr>
            <w:tcW w:w="6480" w:type="dxa"/>
            <w:gridSpan w:val="5"/>
            <w:tcBorders>
              <w:top w:val="nil"/>
              <w:left w:val="nil"/>
              <w:bottom w:val="nil"/>
              <w:right w:val="nil"/>
            </w:tcBorders>
          </w:tcPr>
          <w:p w:rsidR="00F02D4A" w:rsidRPr="00323479" w:rsidRDefault="00F02D4A" w:rsidP="005F4B0D">
            <w:pPr>
              <w:autoSpaceDE w:val="0"/>
              <w:autoSpaceDN w:val="0"/>
              <w:adjustRightInd w:val="0"/>
              <w:rPr>
                <w:sz w:val="22"/>
                <w:szCs w:val="22"/>
              </w:rPr>
            </w:pPr>
            <w:r w:rsidRPr="00323479">
              <w:rPr>
                <w:sz w:val="22"/>
                <w:szCs w:val="22"/>
              </w:rPr>
              <w:t xml:space="preserve">Method: ML - </w:t>
            </w:r>
            <w:r w:rsidRPr="00323479">
              <w:rPr>
                <w:b/>
                <w:bCs/>
                <w:sz w:val="22"/>
                <w:szCs w:val="22"/>
              </w:rPr>
              <w:t>Binary Logit</w:t>
            </w:r>
            <w:r w:rsidRPr="00323479">
              <w:rPr>
                <w:sz w:val="22"/>
                <w:szCs w:val="22"/>
              </w:rPr>
              <w:t xml:space="preserve"> (Quadratic hill climbing)</w:t>
            </w:r>
          </w:p>
        </w:tc>
      </w:tr>
      <w:tr w:rsidR="00F02D4A" w:rsidRPr="00323479" w:rsidTr="005F4B0D">
        <w:tblPrEx>
          <w:tblCellMar>
            <w:top w:w="0" w:type="dxa"/>
            <w:bottom w:w="0" w:type="dxa"/>
          </w:tblCellMar>
        </w:tblPrEx>
        <w:tc>
          <w:tcPr>
            <w:tcW w:w="6480" w:type="dxa"/>
            <w:gridSpan w:val="5"/>
            <w:tcBorders>
              <w:top w:val="nil"/>
              <w:left w:val="nil"/>
              <w:bottom w:val="double" w:sz="6" w:space="2" w:color="auto"/>
              <w:right w:val="nil"/>
            </w:tcBorders>
          </w:tcPr>
          <w:p w:rsidR="00F02D4A" w:rsidRPr="00323479" w:rsidRDefault="00F02D4A" w:rsidP="005F4B0D">
            <w:pPr>
              <w:autoSpaceDE w:val="0"/>
              <w:autoSpaceDN w:val="0"/>
              <w:adjustRightInd w:val="0"/>
              <w:rPr>
                <w:sz w:val="22"/>
                <w:szCs w:val="22"/>
              </w:rPr>
            </w:pPr>
            <w:r w:rsidRPr="00323479">
              <w:rPr>
                <w:sz w:val="22"/>
                <w:szCs w:val="22"/>
              </w:rPr>
              <w:t>Covariance matrix computed using second derivatives</w:t>
            </w:r>
          </w:p>
        </w:tc>
      </w:tr>
      <w:tr w:rsidR="00F02D4A" w:rsidRPr="00323479" w:rsidTr="005F4B0D">
        <w:tblPrEx>
          <w:tblCellMar>
            <w:top w:w="0" w:type="dxa"/>
            <w:bottom w:w="0" w:type="dxa"/>
          </w:tblCellMar>
        </w:tblPrEx>
        <w:tc>
          <w:tcPr>
            <w:tcW w:w="2032" w:type="dxa"/>
            <w:tcBorders>
              <w:top w:val="nil"/>
              <w:left w:val="nil"/>
              <w:bottom w:val="double" w:sz="6" w:space="2" w:color="auto"/>
              <w:right w:val="nil"/>
            </w:tcBorders>
          </w:tcPr>
          <w:p w:rsidR="00F02D4A" w:rsidRPr="00323479" w:rsidRDefault="00F02D4A" w:rsidP="005F4B0D">
            <w:pPr>
              <w:autoSpaceDE w:val="0"/>
              <w:autoSpaceDN w:val="0"/>
              <w:adjustRightInd w:val="0"/>
              <w:jc w:val="center"/>
              <w:rPr>
                <w:sz w:val="22"/>
                <w:szCs w:val="22"/>
              </w:rPr>
            </w:pPr>
            <w:r w:rsidRPr="00323479">
              <w:rPr>
                <w:sz w:val="22"/>
                <w:szCs w:val="22"/>
              </w:rPr>
              <w:t>Variable</w:t>
            </w:r>
          </w:p>
        </w:tc>
        <w:tc>
          <w:tcPr>
            <w:tcW w:w="1085" w:type="dxa"/>
            <w:tcBorders>
              <w:top w:val="nil"/>
              <w:left w:val="nil"/>
              <w:bottom w:val="double" w:sz="6" w:space="2" w:color="auto"/>
              <w:right w:val="nil"/>
            </w:tcBorders>
          </w:tcPr>
          <w:p w:rsidR="00F02D4A" w:rsidRPr="00323479" w:rsidRDefault="00F02D4A" w:rsidP="005F4B0D">
            <w:pPr>
              <w:autoSpaceDE w:val="0"/>
              <w:autoSpaceDN w:val="0"/>
              <w:adjustRightInd w:val="0"/>
              <w:jc w:val="right"/>
              <w:rPr>
                <w:sz w:val="22"/>
                <w:szCs w:val="22"/>
              </w:rPr>
            </w:pPr>
            <w:r w:rsidRPr="00323479">
              <w:rPr>
                <w:sz w:val="22"/>
                <w:szCs w:val="22"/>
              </w:rPr>
              <w:t>Coefficient</w:t>
            </w:r>
          </w:p>
        </w:tc>
        <w:tc>
          <w:tcPr>
            <w:tcW w:w="1193" w:type="dxa"/>
            <w:tcBorders>
              <w:top w:val="nil"/>
              <w:left w:val="nil"/>
              <w:bottom w:val="double" w:sz="6" w:space="2" w:color="auto"/>
              <w:right w:val="nil"/>
            </w:tcBorders>
          </w:tcPr>
          <w:p w:rsidR="00F02D4A" w:rsidRPr="00323479" w:rsidRDefault="00F02D4A" w:rsidP="005F4B0D">
            <w:pPr>
              <w:autoSpaceDE w:val="0"/>
              <w:autoSpaceDN w:val="0"/>
              <w:adjustRightInd w:val="0"/>
              <w:jc w:val="right"/>
              <w:rPr>
                <w:sz w:val="22"/>
                <w:szCs w:val="22"/>
              </w:rPr>
            </w:pPr>
            <w:r w:rsidRPr="00323479">
              <w:rPr>
                <w:sz w:val="22"/>
                <w:szCs w:val="22"/>
              </w:rPr>
              <w:t>Std. Error</w:t>
            </w:r>
          </w:p>
        </w:tc>
        <w:tc>
          <w:tcPr>
            <w:tcW w:w="1194" w:type="dxa"/>
            <w:tcBorders>
              <w:top w:val="nil"/>
              <w:left w:val="nil"/>
              <w:bottom w:val="double" w:sz="6" w:space="2" w:color="auto"/>
              <w:right w:val="nil"/>
            </w:tcBorders>
          </w:tcPr>
          <w:p w:rsidR="00F02D4A" w:rsidRPr="00323479" w:rsidRDefault="00F02D4A" w:rsidP="005F4B0D">
            <w:pPr>
              <w:autoSpaceDE w:val="0"/>
              <w:autoSpaceDN w:val="0"/>
              <w:adjustRightInd w:val="0"/>
              <w:jc w:val="right"/>
              <w:rPr>
                <w:sz w:val="22"/>
                <w:szCs w:val="22"/>
              </w:rPr>
            </w:pPr>
            <w:r w:rsidRPr="00323479">
              <w:rPr>
                <w:sz w:val="22"/>
                <w:szCs w:val="22"/>
              </w:rPr>
              <w:t>z-Statistic</w:t>
            </w:r>
          </w:p>
        </w:tc>
        <w:tc>
          <w:tcPr>
            <w:tcW w:w="976" w:type="dxa"/>
            <w:tcBorders>
              <w:top w:val="nil"/>
              <w:left w:val="nil"/>
              <w:bottom w:val="double" w:sz="6" w:space="2" w:color="auto"/>
              <w:right w:val="nil"/>
            </w:tcBorders>
          </w:tcPr>
          <w:p w:rsidR="00F02D4A" w:rsidRPr="00323479" w:rsidRDefault="00F02D4A" w:rsidP="005F4B0D">
            <w:pPr>
              <w:autoSpaceDE w:val="0"/>
              <w:autoSpaceDN w:val="0"/>
              <w:adjustRightInd w:val="0"/>
              <w:jc w:val="right"/>
              <w:rPr>
                <w:sz w:val="22"/>
                <w:szCs w:val="22"/>
              </w:rPr>
            </w:pPr>
            <w:r w:rsidRPr="00323479">
              <w:rPr>
                <w:sz w:val="22"/>
                <w:szCs w:val="22"/>
              </w:rPr>
              <w:t xml:space="preserve">Prob.  </w:t>
            </w:r>
          </w:p>
        </w:tc>
      </w:tr>
      <w:tr w:rsidR="00F02D4A" w:rsidRPr="00323479" w:rsidTr="005F4B0D">
        <w:tblPrEx>
          <w:tblCellMar>
            <w:top w:w="0" w:type="dxa"/>
            <w:bottom w:w="0" w:type="dxa"/>
          </w:tblCellMar>
        </w:tblPrEx>
        <w:tc>
          <w:tcPr>
            <w:tcW w:w="2032" w:type="dxa"/>
            <w:tcBorders>
              <w:top w:val="nil"/>
              <w:left w:val="nil"/>
              <w:bottom w:val="nil"/>
              <w:right w:val="nil"/>
            </w:tcBorders>
          </w:tcPr>
          <w:p w:rsidR="00F02D4A" w:rsidRPr="00323479" w:rsidRDefault="00F02D4A" w:rsidP="005F4B0D">
            <w:pPr>
              <w:autoSpaceDE w:val="0"/>
              <w:autoSpaceDN w:val="0"/>
              <w:adjustRightInd w:val="0"/>
              <w:jc w:val="center"/>
              <w:rPr>
                <w:sz w:val="22"/>
                <w:szCs w:val="22"/>
              </w:rPr>
            </w:pPr>
            <w:r w:rsidRPr="00323479">
              <w:rPr>
                <w:sz w:val="22"/>
                <w:szCs w:val="22"/>
              </w:rPr>
              <w:t>C</w:t>
            </w:r>
          </w:p>
        </w:tc>
        <w:tc>
          <w:tcPr>
            <w:tcW w:w="1085" w:type="dxa"/>
            <w:tcBorders>
              <w:top w:val="nil"/>
              <w:left w:val="nil"/>
              <w:bottom w:val="nil"/>
              <w:right w:val="nil"/>
            </w:tcBorders>
          </w:tcPr>
          <w:p w:rsidR="00F02D4A" w:rsidRPr="00323479" w:rsidRDefault="00F02D4A" w:rsidP="005F4B0D">
            <w:pPr>
              <w:autoSpaceDE w:val="0"/>
              <w:autoSpaceDN w:val="0"/>
              <w:adjustRightInd w:val="0"/>
              <w:jc w:val="right"/>
              <w:rPr>
                <w:sz w:val="22"/>
                <w:szCs w:val="22"/>
              </w:rPr>
            </w:pPr>
            <w:r w:rsidRPr="00323479">
              <w:rPr>
                <w:sz w:val="22"/>
                <w:szCs w:val="22"/>
              </w:rPr>
              <w:t>-0.351871</w:t>
            </w:r>
          </w:p>
        </w:tc>
        <w:tc>
          <w:tcPr>
            <w:tcW w:w="1193" w:type="dxa"/>
            <w:tcBorders>
              <w:top w:val="nil"/>
              <w:left w:val="nil"/>
              <w:bottom w:val="nil"/>
              <w:right w:val="nil"/>
            </w:tcBorders>
          </w:tcPr>
          <w:p w:rsidR="00F02D4A" w:rsidRPr="00323479" w:rsidRDefault="00F02D4A" w:rsidP="005F4B0D">
            <w:pPr>
              <w:autoSpaceDE w:val="0"/>
              <w:autoSpaceDN w:val="0"/>
              <w:adjustRightInd w:val="0"/>
              <w:jc w:val="right"/>
              <w:rPr>
                <w:sz w:val="22"/>
                <w:szCs w:val="22"/>
              </w:rPr>
            </w:pPr>
            <w:r w:rsidRPr="00323479">
              <w:rPr>
                <w:sz w:val="22"/>
                <w:szCs w:val="22"/>
              </w:rPr>
              <w:t>1.035516</w:t>
            </w:r>
          </w:p>
        </w:tc>
        <w:tc>
          <w:tcPr>
            <w:tcW w:w="1194" w:type="dxa"/>
            <w:tcBorders>
              <w:top w:val="nil"/>
              <w:left w:val="nil"/>
              <w:bottom w:val="nil"/>
              <w:right w:val="nil"/>
            </w:tcBorders>
          </w:tcPr>
          <w:p w:rsidR="00F02D4A" w:rsidRPr="00323479" w:rsidRDefault="00F02D4A" w:rsidP="005F4B0D">
            <w:pPr>
              <w:autoSpaceDE w:val="0"/>
              <w:autoSpaceDN w:val="0"/>
              <w:adjustRightInd w:val="0"/>
              <w:jc w:val="right"/>
              <w:rPr>
                <w:sz w:val="22"/>
                <w:szCs w:val="22"/>
              </w:rPr>
            </w:pPr>
            <w:r w:rsidRPr="00323479">
              <w:rPr>
                <w:sz w:val="22"/>
                <w:szCs w:val="22"/>
              </w:rPr>
              <w:t>-0.339802</w:t>
            </w:r>
          </w:p>
        </w:tc>
        <w:tc>
          <w:tcPr>
            <w:tcW w:w="976" w:type="dxa"/>
            <w:tcBorders>
              <w:top w:val="nil"/>
              <w:left w:val="nil"/>
              <w:bottom w:val="nil"/>
              <w:right w:val="nil"/>
            </w:tcBorders>
          </w:tcPr>
          <w:p w:rsidR="00F02D4A" w:rsidRPr="00323479" w:rsidRDefault="00F02D4A" w:rsidP="005F4B0D">
            <w:pPr>
              <w:autoSpaceDE w:val="0"/>
              <w:autoSpaceDN w:val="0"/>
              <w:adjustRightInd w:val="0"/>
              <w:jc w:val="right"/>
              <w:rPr>
                <w:sz w:val="22"/>
                <w:szCs w:val="22"/>
              </w:rPr>
            </w:pPr>
            <w:r w:rsidRPr="00323479">
              <w:rPr>
                <w:sz w:val="22"/>
                <w:szCs w:val="22"/>
              </w:rPr>
              <w:t>0.7340</w:t>
            </w:r>
          </w:p>
        </w:tc>
      </w:tr>
      <w:tr w:rsidR="00F02D4A" w:rsidRPr="00323479" w:rsidTr="005F4B0D">
        <w:tblPrEx>
          <w:tblCellMar>
            <w:top w:w="0" w:type="dxa"/>
            <w:bottom w:w="0" w:type="dxa"/>
          </w:tblCellMar>
        </w:tblPrEx>
        <w:tc>
          <w:tcPr>
            <w:tcW w:w="2032" w:type="dxa"/>
            <w:tcBorders>
              <w:top w:val="nil"/>
              <w:left w:val="nil"/>
              <w:bottom w:val="nil"/>
              <w:right w:val="nil"/>
            </w:tcBorders>
          </w:tcPr>
          <w:p w:rsidR="00F02D4A" w:rsidRPr="00323479" w:rsidRDefault="00F02D4A" w:rsidP="005F4B0D">
            <w:pPr>
              <w:autoSpaceDE w:val="0"/>
              <w:autoSpaceDN w:val="0"/>
              <w:adjustRightInd w:val="0"/>
              <w:jc w:val="center"/>
              <w:rPr>
                <w:sz w:val="22"/>
                <w:szCs w:val="22"/>
              </w:rPr>
            </w:pPr>
            <w:r w:rsidRPr="00323479">
              <w:rPr>
                <w:sz w:val="22"/>
                <w:szCs w:val="22"/>
              </w:rPr>
              <w:t>GDP</w:t>
            </w:r>
          </w:p>
        </w:tc>
        <w:tc>
          <w:tcPr>
            <w:tcW w:w="1085" w:type="dxa"/>
            <w:tcBorders>
              <w:top w:val="nil"/>
              <w:left w:val="nil"/>
              <w:bottom w:val="nil"/>
              <w:right w:val="nil"/>
            </w:tcBorders>
          </w:tcPr>
          <w:p w:rsidR="00F02D4A" w:rsidRPr="00323479" w:rsidRDefault="00F02D4A" w:rsidP="005F4B0D">
            <w:pPr>
              <w:autoSpaceDE w:val="0"/>
              <w:autoSpaceDN w:val="0"/>
              <w:adjustRightInd w:val="0"/>
              <w:jc w:val="right"/>
              <w:rPr>
                <w:sz w:val="22"/>
                <w:szCs w:val="22"/>
              </w:rPr>
            </w:pPr>
            <w:r w:rsidRPr="00323479">
              <w:rPr>
                <w:sz w:val="22"/>
                <w:szCs w:val="22"/>
              </w:rPr>
              <w:t>0.006161</w:t>
            </w:r>
          </w:p>
        </w:tc>
        <w:tc>
          <w:tcPr>
            <w:tcW w:w="1193" w:type="dxa"/>
            <w:tcBorders>
              <w:top w:val="nil"/>
              <w:left w:val="nil"/>
              <w:bottom w:val="nil"/>
              <w:right w:val="nil"/>
            </w:tcBorders>
          </w:tcPr>
          <w:p w:rsidR="00F02D4A" w:rsidRPr="00323479" w:rsidRDefault="00F02D4A" w:rsidP="005F4B0D">
            <w:pPr>
              <w:autoSpaceDE w:val="0"/>
              <w:autoSpaceDN w:val="0"/>
              <w:adjustRightInd w:val="0"/>
              <w:jc w:val="right"/>
              <w:rPr>
                <w:sz w:val="22"/>
                <w:szCs w:val="22"/>
              </w:rPr>
            </w:pPr>
            <w:r w:rsidRPr="00323479">
              <w:rPr>
                <w:sz w:val="22"/>
                <w:szCs w:val="22"/>
              </w:rPr>
              <w:t>0.000397</w:t>
            </w:r>
          </w:p>
        </w:tc>
        <w:tc>
          <w:tcPr>
            <w:tcW w:w="1194" w:type="dxa"/>
            <w:tcBorders>
              <w:top w:val="nil"/>
              <w:left w:val="nil"/>
              <w:bottom w:val="nil"/>
              <w:right w:val="nil"/>
            </w:tcBorders>
          </w:tcPr>
          <w:p w:rsidR="00F02D4A" w:rsidRPr="00323479" w:rsidRDefault="00F02D4A" w:rsidP="005F4B0D">
            <w:pPr>
              <w:autoSpaceDE w:val="0"/>
              <w:autoSpaceDN w:val="0"/>
              <w:adjustRightInd w:val="0"/>
              <w:jc w:val="right"/>
              <w:rPr>
                <w:sz w:val="22"/>
                <w:szCs w:val="22"/>
              </w:rPr>
            </w:pPr>
            <w:r w:rsidRPr="00323479">
              <w:rPr>
                <w:sz w:val="22"/>
                <w:szCs w:val="22"/>
              </w:rPr>
              <w:t>15.49797</w:t>
            </w:r>
          </w:p>
        </w:tc>
        <w:tc>
          <w:tcPr>
            <w:tcW w:w="976" w:type="dxa"/>
            <w:tcBorders>
              <w:top w:val="nil"/>
              <w:left w:val="nil"/>
              <w:bottom w:val="nil"/>
              <w:right w:val="nil"/>
            </w:tcBorders>
          </w:tcPr>
          <w:p w:rsidR="00F02D4A" w:rsidRPr="00323479" w:rsidRDefault="00F02D4A" w:rsidP="005F4B0D">
            <w:pPr>
              <w:autoSpaceDE w:val="0"/>
              <w:autoSpaceDN w:val="0"/>
              <w:adjustRightInd w:val="0"/>
              <w:jc w:val="right"/>
              <w:rPr>
                <w:sz w:val="22"/>
                <w:szCs w:val="22"/>
              </w:rPr>
            </w:pPr>
            <w:r w:rsidRPr="00323479">
              <w:rPr>
                <w:sz w:val="22"/>
                <w:szCs w:val="22"/>
              </w:rPr>
              <w:t>0.0000</w:t>
            </w:r>
          </w:p>
        </w:tc>
      </w:tr>
      <w:tr w:rsidR="00F02D4A" w:rsidRPr="00323479" w:rsidTr="005F4B0D">
        <w:tblPrEx>
          <w:tblCellMar>
            <w:top w:w="0" w:type="dxa"/>
            <w:bottom w:w="0" w:type="dxa"/>
          </w:tblCellMar>
        </w:tblPrEx>
        <w:tc>
          <w:tcPr>
            <w:tcW w:w="2032" w:type="dxa"/>
            <w:tcBorders>
              <w:top w:val="nil"/>
              <w:left w:val="nil"/>
              <w:bottom w:val="double" w:sz="6" w:space="0" w:color="auto"/>
              <w:right w:val="nil"/>
            </w:tcBorders>
          </w:tcPr>
          <w:p w:rsidR="00F02D4A" w:rsidRPr="00323479" w:rsidRDefault="00F02D4A" w:rsidP="005F4B0D">
            <w:pPr>
              <w:autoSpaceDE w:val="0"/>
              <w:autoSpaceDN w:val="0"/>
              <w:adjustRightInd w:val="0"/>
              <w:jc w:val="center"/>
              <w:rPr>
                <w:sz w:val="22"/>
                <w:szCs w:val="22"/>
              </w:rPr>
            </w:pPr>
            <w:r w:rsidRPr="00323479">
              <w:rPr>
                <w:sz w:val="22"/>
                <w:szCs w:val="22"/>
              </w:rPr>
              <w:t>R</w:t>
            </w:r>
          </w:p>
        </w:tc>
        <w:tc>
          <w:tcPr>
            <w:tcW w:w="1085" w:type="dxa"/>
            <w:tcBorders>
              <w:top w:val="nil"/>
              <w:left w:val="nil"/>
              <w:bottom w:val="double" w:sz="6" w:space="0" w:color="auto"/>
              <w:right w:val="nil"/>
            </w:tcBorders>
          </w:tcPr>
          <w:p w:rsidR="00F02D4A" w:rsidRPr="00323479" w:rsidRDefault="00F02D4A" w:rsidP="005F4B0D">
            <w:pPr>
              <w:autoSpaceDE w:val="0"/>
              <w:autoSpaceDN w:val="0"/>
              <w:adjustRightInd w:val="0"/>
              <w:jc w:val="right"/>
              <w:rPr>
                <w:sz w:val="22"/>
                <w:szCs w:val="22"/>
              </w:rPr>
            </w:pPr>
            <w:r w:rsidRPr="00323479">
              <w:rPr>
                <w:sz w:val="22"/>
                <w:szCs w:val="22"/>
              </w:rPr>
              <w:t>-0.106095</w:t>
            </w:r>
          </w:p>
        </w:tc>
        <w:tc>
          <w:tcPr>
            <w:tcW w:w="1193" w:type="dxa"/>
            <w:tcBorders>
              <w:top w:val="nil"/>
              <w:left w:val="nil"/>
              <w:bottom w:val="double" w:sz="6" w:space="0" w:color="auto"/>
              <w:right w:val="nil"/>
            </w:tcBorders>
          </w:tcPr>
          <w:p w:rsidR="00F02D4A" w:rsidRPr="00323479" w:rsidRDefault="00F02D4A" w:rsidP="005F4B0D">
            <w:pPr>
              <w:autoSpaceDE w:val="0"/>
              <w:autoSpaceDN w:val="0"/>
              <w:adjustRightInd w:val="0"/>
              <w:jc w:val="right"/>
              <w:rPr>
                <w:sz w:val="22"/>
                <w:szCs w:val="22"/>
              </w:rPr>
            </w:pPr>
            <w:r w:rsidRPr="00323479">
              <w:rPr>
                <w:sz w:val="22"/>
                <w:szCs w:val="22"/>
              </w:rPr>
              <w:t>0.186449</w:t>
            </w:r>
          </w:p>
        </w:tc>
        <w:tc>
          <w:tcPr>
            <w:tcW w:w="1194" w:type="dxa"/>
            <w:tcBorders>
              <w:top w:val="nil"/>
              <w:left w:val="nil"/>
              <w:bottom w:val="double" w:sz="6" w:space="0" w:color="auto"/>
              <w:right w:val="nil"/>
            </w:tcBorders>
          </w:tcPr>
          <w:p w:rsidR="00F02D4A" w:rsidRPr="00323479" w:rsidRDefault="00F02D4A" w:rsidP="005F4B0D">
            <w:pPr>
              <w:autoSpaceDE w:val="0"/>
              <w:autoSpaceDN w:val="0"/>
              <w:adjustRightInd w:val="0"/>
              <w:jc w:val="right"/>
              <w:rPr>
                <w:sz w:val="22"/>
                <w:szCs w:val="22"/>
              </w:rPr>
            </w:pPr>
            <w:r w:rsidRPr="00323479">
              <w:rPr>
                <w:sz w:val="22"/>
                <w:szCs w:val="22"/>
              </w:rPr>
              <w:t>-0.569030</w:t>
            </w:r>
          </w:p>
        </w:tc>
        <w:tc>
          <w:tcPr>
            <w:tcW w:w="976" w:type="dxa"/>
            <w:tcBorders>
              <w:top w:val="nil"/>
              <w:left w:val="nil"/>
              <w:bottom w:val="double" w:sz="6" w:space="0" w:color="auto"/>
              <w:right w:val="nil"/>
            </w:tcBorders>
          </w:tcPr>
          <w:p w:rsidR="00F02D4A" w:rsidRPr="00323479" w:rsidRDefault="00F02D4A" w:rsidP="005F4B0D">
            <w:pPr>
              <w:autoSpaceDE w:val="0"/>
              <w:autoSpaceDN w:val="0"/>
              <w:adjustRightInd w:val="0"/>
              <w:jc w:val="right"/>
              <w:rPr>
                <w:sz w:val="22"/>
                <w:szCs w:val="22"/>
              </w:rPr>
            </w:pPr>
            <w:r w:rsidRPr="00323479">
              <w:rPr>
                <w:sz w:val="22"/>
                <w:szCs w:val="22"/>
              </w:rPr>
              <w:t>0.5693</w:t>
            </w:r>
          </w:p>
        </w:tc>
      </w:tr>
    </w:tbl>
    <w:p w:rsidR="00F02D4A" w:rsidRPr="00323479" w:rsidRDefault="00F02D4A" w:rsidP="00F02D4A">
      <w:pPr>
        <w:jc w:val="both"/>
        <w:rPr>
          <w:sz w:val="22"/>
          <w:szCs w:val="22"/>
        </w:rPr>
      </w:pPr>
    </w:p>
    <w:p w:rsidR="00F02D4A" w:rsidRPr="00F4605A" w:rsidRDefault="00F02D4A" w:rsidP="00F02D4A">
      <w:pPr>
        <w:jc w:val="both"/>
      </w:pPr>
      <w:r w:rsidRPr="00F4605A">
        <w:t>1.</w:t>
      </w:r>
      <w:r w:rsidRPr="00F4605A">
        <w:tab/>
        <w:t>If the interest rate is 0, what is the probability that the country has the trade surplus at the level GDP=3000</w:t>
      </w:r>
      <w:r>
        <w:t xml:space="preserve"> un</w:t>
      </w:r>
      <w:bookmarkStart w:id="0" w:name="_GoBack"/>
      <w:bookmarkEnd w:id="0"/>
      <w:r>
        <w:t>its</w:t>
      </w:r>
      <w:r w:rsidRPr="00F4605A">
        <w:t>?</w:t>
      </w:r>
    </w:p>
    <w:p w:rsidR="00F02D4A" w:rsidRDefault="00F02D4A" w:rsidP="00F02D4A">
      <w:r w:rsidRPr="00F4605A">
        <w:t>2.</w:t>
      </w:r>
      <w:r w:rsidRPr="00F4605A">
        <w:tab/>
        <w:t xml:space="preserve">At the above level of GDP and R, if GDP increases by 1 unit, how does the probability that the country has the trade surplus </w:t>
      </w:r>
      <w:proofErr w:type="gramStart"/>
      <w:r w:rsidRPr="00F4605A">
        <w:t>change ?</w:t>
      </w:r>
      <w:proofErr w:type="gramEnd"/>
    </w:p>
    <w:sectPr w:rsidR="00F02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86611"/>
    <w:multiLevelType w:val="hybridMultilevel"/>
    <w:tmpl w:val="F93C28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A"/>
    <w:rsid w:val="003C34BA"/>
    <w:rsid w:val="005E14D9"/>
    <w:rsid w:val="00F0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1F46ED"/>
  <w15:chartTrackingRefBased/>
  <w15:docId w15:val="{CCAB0303-05D9-48E1-8CC8-94EEC8EF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4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Manh. The</dc:creator>
  <cp:keywords/>
  <dc:description/>
  <cp:lastModifiedBy>Nguyen Manh. The</cp:lastModifiedBy>
  <cp:revision>2</cp:revision>
  <dcterms:created xsi:type="dcterms:W3CDTF">2021-04-20T16:08:00Z</dcterms:created>
  <dcterms:modified xsi:type="dcterms:W3CDTF">2021-04-20T16:12:00Z</dcterms:modified>
</cp:coreProperties>
</file>