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DBAE9" w14:textId="59B8F8B0" w:rsidR="00325939" w:rsidRDefault="00205E84" w:rsidP="001A4618">
      <w:pPr>
        <w:pStyle w:val="PargrafodaLista"/>
        <w:numPr>
          <w:ilvl w:val="0"/>
          <w:numId w:val="1"/>
        </w:numPr>
        <w:jc w:val="both"/>
      </w:pPr>
      <w:r>
        <w:t xml:space="preserve">During the first quarter of its </w:t>
      </w:r>
      <w:r w:rsidR="00336703">
        <w:t xml:space="preserve">fiscal year, Tangerine Enterprises experiences a </w:t>
      </w:r>
      <w:r w:rsidR="00557257">
        <w:t>temporary</w:t>
      </w:r>
      <w:r w:rsidR="00336703">
        <w:t xml:space="preserve"> liquidation of 1000 units in its LIFO base owing to seasonal fluctuations. The LIFO unit cost is </w:t>
      </w:r>
      <w:r w:rsidR="00557257">
        <w:t>$12,</w:t>
      </w:r>
      <w:r w:rsidR="00336703">
        <w:t xml:space="preserve"> and the estimated replacement cost of the inventory is $20 per unit. Identify the entry in the first interim period to account for the temporary liquidation.</w:t>
      </w:r>
    </w:p>
    <w:p w14:paraId="558C08C5" w14:textId="497000D2" w:rsidR="00336703" w:rsidRDefault="00336703" w:rsidP="001A4618">
      <w:pPr>
        <w:jc w:val="both"/>
      </w:pPr>
      <w:r>
        <w:t>Dr. Cost of Goods Sold for $20,000; Cr Inventory for $</w:t>
      </w:r>
      <w:r w:rsidR="00557257">
        <w:t>12,000;</w:t>
      </w:r>
      <w:r>
        <w:t xml:space="preserve"> Cr excess of replacement cost over LIFO cost of inventory liquidated for </w:t>
      </w:r>
      <w:r w:rsidR="00557257">
        <w:t>$8,000.</w:t>
      </w:r>
    </w:p>
    <w:p w14:paraId="5B3ED38A" w14:textId="0BE1CD36" w:rsidR="00336703" w:rsidRDefault="00336703" w:rsidP="001A4618">
      <w:pPr>
        <w:jc w:val="both"/>
      </w:pPr>
    </w:p>
    <w:p w14:paraId="10B41DFD" w14:textId="77777777" w:rsidR="00B64F65" w:rsidRDefault="00B64F65" w:rsidP="001A4618">
      <w:pPr>
        <w:pStyle w:val="PargrafodaLista"/>
        <w:numPr>
          <w:ilvl w:val="0"/>
          <w:numId w:val="1"/>
        </w:numPr>
        <w:jc w:val="both"/>
      </w:pPr>
      <w:r>
        <w:t xml:space="preserve">If the liquidated inventory is replaced by the end of the fiscal year, the </w:t>
      </w:r>
    </w:p>
    <w:p w14:paraId="4AD73D70" w14:textId="4381C93C" w:rsidR="00336703" w:rsidRDefault="00B64F65" w:rsidP="001A4618">
      <w:pPr>
        <w:jc w:val="both"/>
      </w:pPr>
      <w:r>
        <w:t xml:space="preserve">Difference in the actual and estimated replacement price of inventory is adjusted to cost of goods sold in the replacement </w:t>
      </w:r>
      <w:r w:rsidR="00557257">
        <w:t>period.</w:t>
      </w:r>
      <w:r>
        <w:t xml:space="preserve"> </w:t>
      </w:r>
    </w:p>
    <w:p w14:paraId="430ACD90" w14:textId="00648E34" w:rsidR="001A4618" w:rsidRDefault="001A4618" w:rsidP="001A4618">
      <w:pPr>
        <w:pStyle w:val="PargrafodaLista"/>
        <w:numPr>
          <w:ilvl w:val="0"/>
          <w:numId w:val="1"/>
        </w:numPr>
        <w:jc w:val="both"/>
      </w:pPr>
      <w:r>
        <w:t xml:space="preserve">At the beginning of the year 20x1, Cubic Enterprises had 1,000 units of inventory on had with a FIFO cost of $20 each. No additional purchases were made during the year. During the year, the market value of inventory reduced. The chief Financial </w:t>
      </w:r>
      <w:r w:rsidR="00557257">
        <w:t>officer</w:t>
      </w:r>
      <w:r>
        <w:t xml:space="preserve"> of </w:t>
      </w:r>
      <w:r w:rsidR="00557257">
        <w:t>cubic. Decided to recognize the reductions in the market value in the interim period in which they occurred. Identify an argument that favors the CFO’s decision.</w:t>
      </w:r>
    </w:p>
    <w:p w14:paraId="2CB01F75" w14:textId="5D80DC16" w:rsidR="00557257" w:rsidRDefault="00557257" w:rsidP="00557257">
      <w:pPr>
        <w:jc w:val="both"/>
      </w:pPr>
      <w:r>
        <w:t xml:space="preserve">The reductions in the market price of inventory are </w:t>
      </w:r>
      <w:r w:rsidR="00DF5A81">
        <w:t>permanent.</w:t>
      </w:r>
    </w:p>
    <w:p w14:paraId="0E50A4E4" w14:textId="2860489A" w:rsidR="00557257" w:rsidRDefault="00557257" w:rsidP="00557257">
      <w:pPr>
        <w:pStyle w:val="PargrafodaLista"/>
        <w:numPr>
          <w:ilvl w:val="0"/>
          <w:numId w:val="1"/>
        </w:numPr>
        <w:jc w:val="both"/>
      </w:pPr>
      <w:r>
        <w:t xml:space="preserve">At the beginning of its fiscal year, </w:t>
      </w:r>
      <w:r w:rsidR="00DF5A81">
        <w:t xml:space="preserve">Lilac </w:t>
      </w:r>
      <w:proofErr w:type="spellStart"/>
      <w:r w:rsidR="00DF5A81">
        <w:t>retalls</w:t>
      </w:r>
      <w:proofErr w:type="spellEnd"/>
      <w:r w:rsidR="00DF5A81">
        <w:t xml:space="preserve"> has 1200 units of inventory on hand with a FIFO cost of $25 each. No additional purchases were made during the year. 300 units were sold during the first quarter, the market value of inventory reduced to $20. However, the market value increased to $22 at the end of the second quarter. Which of the following statements is true about the inventory valuation in the interim financial statements if the declines were not identified as temporary?</w:t>
      </w:r>
    </w:p>
    <w:p w14:paraId="10CE0CF2" w14:textId="05C38246" w:rsidR="00DF5A81" w:rsidRDefault="00DF5A81" w:rsidP="00DF5A81">
      <w:pPr>
        <w:jc w:val="both"/>
      </w:pPr>
      <w:r>
        <w:t xml:space="preserve">The ending inventory of the first-quarter is written down by </w:t>
      </w:r>
      <w:proofErr w:type="gramStart"/>
      <w:r>
        <w:t>4500 ;</w:t>
      </w:r>
      <w:proofErr w:type="gramEnd"/>
      <w:r>
        <w:t xml:space="preserve"> the second-quarter interim report shows a loss recovery of $ 1400</w:t>
      </w:r>
    </w:p>
    <w:p w14:paraId="38696A4F" w14:textId="5FDBCA0B" w:rsidR="00DF5A81" w:rsidRDefault="00DF5A81" w:rsidP="00DF5A81">
      <w:pPr>
        <w:jc w:val="both"/>
      </w:pPr>
      <w:r>
        <w:t xml:space="preserve">Value of ending inventory written down in the first quarter= (1200 units – 300 units) units x (25 – </w:t>
      </w:r>
      <w:proofErr w:type="gramStart"/>
      <w:r>
        <w:t>20)=</w:t>
      </w:r>
      <w:proofErr w:type="gramEnd"/>
      <w:r>
        <w:t xml:space="preserve"> 4500; value of ending inventory recovery in the second quarte = (900 units – 200 units) units x (22-20)= 1400</w:t>
      </w:r>
    </w:p>
    <w:p w14:paraId="105FF22E" w14:textId="0FD37F6C" w:rsidR="00FD15DE" w:rsidRDefault="003A76F3" w:rsidP="00541206">
      <w:pPr>
        <w:pStyle w:val="PargrafodaLista"/>
        <w:numPr>
          <w:ilvl w:val="0"/>
          <w:numId w:val="1"/>
        </w:numPr>
        <w:jc w:val="both"/>
      </w:pPr>
      <w:r>
        <w:t xml:space="preserve">Revenue </w:t>
      </w:r>
      <w:r w:rsidR="00FD15DE">
        <w:t>recognizes</w:t>
      </w:r>
      <w:r>
        <w:t xml:space="preserve"> for tax purposes either bef</w:t>
      </w:r>
      <w:r w:rsidR="00BE7CAC">
        <w:t xml:space="preserve">ore or after the period in which it is recognized for book purposes results in </w:t>
      </w:r>
      <w:r w:rsidR="00111C1A">
        <w:t xml:space="preserve">Temporary </w:t>
      </w:r>
      <w:r w:rsidR="00982383">
        <w:t>difference.</w:t>
      </w:r>
      <w:r w:rsidR="009F0A67">
        <w:t xml:space="preserve"> </w:t>
      </w:r>
    </w:p>
    <w:p w14:paraId="3FCC00FD" w14:textId="77777777" w:rsidR="00FC13AA" w:rsidRDefault="00FC13AA" w:rsidP="00FC13AA">
      <w:pPr>
        <w:pStyle w:val="PargrafodaLista"/>
        <w:jc w:val="both"/>
      </w:pPr>
    </w:p>
    <w:p w14:paraId="78F56C8C" w14:textId="0B73E4F9" w:rsidR="00982383" w:rsidRDefault="00982383" w:rsidP="00541206">
      <w:pPr>
        <w:pStyle w:val="PargrafodaLista"/>
        <w:numPr>
          <w:ilvl w:val="0"/>
          <w:numId w:val="1"/>
        </w:numPr>
        <w:jc w:val="both"/>
      </w:pPr>
      <w:r>
        <w:t xml:space="preserve">Sigma enterprises incurred no advertising expense in the first quarter ending </w:t>
      </w:r>
      <w:r w:rsidR="00FC13AA">
        <w:t>March</w:t>
      </w:r>
      <w:r>
        <w:t xml:space="preserve"> 31 on April 1 50,000 was paid for </w:t>
      </w:r>
      <w:r w:rsidR="005B050A">
        <w:t>advertising.</w:t>
      </w:r>
      <w:r>
        <w:t xml:space="preserve"> The </w:t>
      </w:r>
      <w:r w:rsidR="00FC13AA">
        <w:t>quarterly</w:t>
      </w:r>
      <w:r>
        <w:t xml:space="preserve"> sales were selected as the allocation base for </w:t>
      </w:r>
      <w:r w:rsidR="005B050A">
        <w:t xml:space="preserve">allocating advertising costs to the benefit period. In each of the second and third quarters, 15000 was allocated as advertising expense. Calculate the amount of advertisement expense allocated in the </w:t>
      </w:r>
      <w:r w:rsidR="00FC13AA">
        <w:t>quarter.</w:t>
      </w:r>
    </w:p>
    <w:p w14:paraId="12F753CD" w14:textId="77777777" w:rsidR="0013485E" w:rsidRDefault="0013485E" w:rsidP="0013485E">
      <w:pPr>
        <w:pStyle w:val="PargrafodaLista"/>
      </w:pPr>
    </w:p>
    <w:p w14:paraId="7823DD8D" w14:textId="0765AD3F" w:rsidR="0013485E" w:rsidRDefault="00CD4C9E" w:rsidP="00CD4C9E">
      <w:pPr>
        <w:pStyle w:val="PargrafodaLista"/>
        <w:jc w:val="both"/>
      </w:pPr>
      <w:r>
        <w:t>Allocation to two quarters =15000 x 2 =30000</w:t>
      </w:r>
    </w:p>
    <w:p w14:paraId="62B406F4" w14:textId="65E8D1AF" w:rsidR="00CD4C9E" w:rsidRDefault="007002C2" w:rsidP="00CD4C9E">
      <w:pPr>
        <w:pStyle w:val="PargrafodaLista"/>
        <w:jc w:val="both"/>
      </w:pPr>
      <w:r>
        <w:t>Allocation to fourth quarters =50000-30000=20,000</w:t>
      </w:r>
    </w:p>
    <w:p w14:paraId="2FC106EF" w14:textId="1B33C8EE" w:rsidR="007002C2" w:rsidRDefault="007002C2" w:rsidP="00CD4C9E">
      <w:pPr>
        <w:pStyle w:val="PargrafodaLista"/>
        <w:jc w:val="both"/>
      </w:pPr>
    </w:p>
    <w:p w14:paraId="17BF624F" w14:textId="3319118E" w:rsidR="00F61DE3" w:rsidRDefault="00232926" w:rsidP="0041237A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lastRenderedPageBreak/>
        <w:t xml:space="preserve">The first step in computing the interim income tax provision is determine the </w:t>
      </w:r>
      <w:r w:rsidR="00F61DE3" w:rsidRPr="0041237A">
        <w:rPr>
          <w:b/>
          <w:bCs/>
        </w:rPr>
        <w:t xml:space="preserve">effective annual tax </w:t>
      </w:r>
      <w:proofErr w:type="gramStart"/>
      <w:r w:rsidR="00F61DE3" w:rsidRPr="0041237A">
        <w:rPr>
          <w:b/>
          <w:bCs/>
        </w:rPr>
        <w:t>rate</w:t>
      </w:r>
      <w:proofErr w:type="gramEnd"/>
      <w:r w:rsidR="00F61DE3" w:rsidRPr="0041237A">
        <w:rPr>
          <w:b/>
          <w:bCs/>
        </w:rPr>
        <w:t xml:space="preserve"> </w:t>
      </w:r>
    </w:p>
    <w:p w14:paraId="63C3327A" w14:textId="09173D55" w:rsidR="0041237A" w:rsidRDefault="0041237A" w:rsidP="00E83B1A">
      <w:pPr>
        <w:jc w:val="both"/>
        <w:rPr>
          <w:b/>
          <w:bCs/>
        </w:rPr>
      </w:pPr>
    </w:p>
    <w:p w14:paraId="5B9894A2" w14:textId="35CD9FB7" w:rsidR="00E83B1A" w:rsidRDefault="00E83B1A" w:rsidP="00E83B1A">
      <w:pPr>
        <w:pStyle w:val="PargrafodaLista"/>
        <w:numPr>
          <w:ilvl w:val="0"/>
          <w:numId w:val="1"/>
        </w:numPr>
        <w:jc w:val="both"/>
      </w:pPr>
      <w:r>
        <w:t>The first-quarter earnings of frac</w:t>
      </w:r>
      <w:r w:rsidR="00367510">
        <w:t>t</w:t>
      </w:r>
      <w:r>
        <w:t xml:space="preserve">al </w:t>
      </w:r>
      <w:r w:rsidR="00367510">
        <w:t>financials</w:t>
      </w:r>
      <w:r>
        <w:t xml:space="preserve"> were 120000. Which of the following journal entries records the tax provision if the es</w:t>
      </w:r>
      <w:r w:rsidR="00880DB3">
        <w:t>timated effective tax rate was 20 per</w:t>
      </w:r>
      <w:r w:rsidR="00367510">
        <w:t>cent?</w:t>
      </w:r>
    </w:p>
    <w:p w14:paraId="1FA5EF77" w14:textId="6804CB1C" w:rsidR="00B475DF" w:rsidRDefault="00067B73" w:rsidP="00B475DF">
      <w:pPr>
        <w:pStyle w:val="PargrafodaLista"/>
      </w:pPr>
      <w:r>
        <w:t>Debit income tax expense for $24000</w:t>
      </w:r>
      <w:r w:rsidR="008715F8">
        <w:t>; Credit income tax payable for $24000</w:t>
      </w:r>
    </w:p>
    <w:p w14:paraId="1AF0E7A3" w14:textId="006F5FFA" w:rsidR="008715F8" w:rsidRDefault="008715F8" w:rsidP="00B475DF">
      <w:pPr>
        <w:pStyle w:val="PargrafodaLista"/>
      </w:pPr>
      <w:r>
        <w:t>Tax provision for the quarter = 120000 x 20% = 24000</w:t>
      </w:r>
    </w:p>
    <w:p w14:paraId="4BC1B550" w14:textId="6155A071" w:rsidR="008715F8" w:rsidRDefault="008715F8" w:rsidP="00B475DF">
      <w:pPr>
        <w:pStyle w:val="PargrafodaLista"/>
      </w:pPr>
    </w:p>
    <w:p w14:paraId="6ED3BCA7" w14:textId="278C8056" w:rsidR="008715F8" w:rsidRDefault="006E1054" w:rsidP="00554006">
      <w:pPr>
        <w:pStyle w:val="PargrafodaLista"/>
        <w:numPr>
          <w:ilvl w:val="0"/>
          <w:numId w:val="1"/>
        </w:numPr>
      </w:pPr>
      <w:proofErr w:type="spellStart"/>
      <w:r>
        <w:t>Yaveo</w:t>
      </w:r>
      <w:proofErr w:type="spellEnd"/>
      <w:r>
        <w:t xml:space="preserve"> fashions has actual earnings of </w:t>
      </w:r>
      <w:r w:rsidR="00D65535">
        <w:t xml:space="preserve">12000 and 20000 in the first and second quarters of the year, respectively. The estimated effective annual tax rate has been revised from 20% in the first quarter to 30% </w:t>
      </w:r>
      <w:r w:rsidR="00664CBB">
        <w:t xml:space="preserve">in the second </w:t>
      </w:r>
      <w:r w:rsidR="009F5842">
        <w:t>quarter.</w:t>
      </w:r>
      <w:r w:rsidR="00664CBB">
        <w:t xml:space="preserve"> What is the amount of income tax provision required in second quarter?</w:t>
      </w:r>
      <w:r w:rsidR="009F5842">
        <w:t xml:space="preserve"> $7200</w:t>
      </w:r>
    </w:p>
    <w:p w14:paraId="54242AF3" w14:textId="77777777" w:rsidR="008966BA" w:rsidRDefault="008966BA" w:rsidP="008966BA">
      <w:pPr>
        <w:pStyle w:val="PargrafodaLista"/>
      </w:pPr>
    </w:p>
    <w:p w14:paraId="73B12AC3" w14:textId="7209BD66" w:rsidR="009F5842" w:rsidRDefault="001F1D0B" w:rsidP="00554006">
      <w:pPr>
        <w:pStyle w:val="PargrafodaLista"/>
        <w:numPr>
          <w:ilvl w:val="0"/>
          <w:numId w:val="1"/>
        </w:numPr>
      </w:pPr>
      <w:proofErr w:type="spellStart"/>
      <w:r>
        <w:t>Mugen</w:t>
      </w:r>
      <w:proofErr w:type="spellEnd"/>
      <w:r>
        <w:t xml:space="preserve"> resources has actual </w:t>
      </w:r>
      <w:r w:rsidR="00574074">
        <w:t xml:space="preserve">earnings of 15000 and 18000 in the first and second quarters of the year, respectively. The </w:t>
      </w:r>
      <w:r w:rsidR="00BE49F4">
        <w:t>estimated effective annual tax rate has been revised from 25% in the first quarter to 35% in the second quarter. What is the amount of cumu</w:t>
      </w:r>
      <w:r w:rsidR="008A2FDE">
        <w:t>lative income tax provision (form the first six months of the year) at the end of second quarter?</w:t>
      </w:r>
      <w:r w:rsidR="00FE7389">
        <w:t xml:space="preserve"> </w:t>
      </w:r>
    </w:p>
    <w:p w14:paraId="7AB3F4CD" w14:textId="11103C0D" w:rsidR="00813E15" w:rsidRDefault="00813E15" w:rsidP="00813E15">
      <w:pPr>
        <w:pStyle w:val="PargrafodaLista"/>
      </w:pPr>
      <w:r>
        <w:t>Actual cumulative income for first two quarters = 15000+18000=33000</w:t>
      </w:r>
      <w:r w:rsidR="00413DA9">
        <w:t>x 35%=11550</w:t>
      </w:r>
    </w:p>
    <w:p w14:paraId="36DC672F" w14:textId="77777777" w:rsidR="00413DA9" w:rsidRDefault="00413DA9" w:rsidP="00813E15">
      <w:pPr>
        <w:pStyle w:val="PargrafodaLista"/>
      </w:pPr>
    </w:p>
    <w:p w14:paraId="3C534527" w14:textId="02FEE08A" w:rsidR="00413DA9" w:rsidRDefault="00E975C3" w:rsidP="00413DA9">
      <w:pPr>
        <w:pStyle w:val="PargrafodaLista"/>
        <w:numPr>
          <w:ilvl w:val="0"/>
          <w:numId w:val="1"/>
        </w:numPr>
      </w:pPr>
      <w:r>
        <w:t xml:space="preserve">In the third quarter of the year 20x1, </w:t>
      </w:r>
      <w:proofErr w:type="spellStart"/>
      <w:r>
        <w:t>skyosis</w:t>
      </w:r>
      <w:proofErr w:type="spellEnd"/>
      <w:r>
        <w:t xml:space="preserve"> pharma requires an income tax provision of 18300</w:t>
      </w:r>
      <w:r w:rsidR="007810ED">
        <w:t>. The updated estimated effective annual tax rate is 24% $6000 of the third-quarter income of $96000 is due to a temporary difference in which accounting income is higher than tax income. What is the entry made to recognize the provision and deferral?</w:t>
      </w:r>
    </w:p>
    <w:p w14:paraId="06F8B39A" w14:textId="5D9C124D" w:rsidR="007810ED" w:rsidRDefault="007810ED" w:rsidP="007810ED">
      <w:pPr>
        <w:pStyle w:val="PargrafodaLista"/>
      </w:pPr>
    </w:p>
    <w:p w14:paraId="47770D35" w14:textId="44CC5DFE" w:rsidR="008147C6" w:rsidRDefault="00A14D5B" w:rsidP="007810ED">
      <w:pPr>
        <w:pStyle w:val="PargrafodaLista"/>
      </w:pPr>
      <w:r>
        <w:t xml:space="preserve">Debit income tax expense by $18300; Credit tax liability by </w:t>
      </w:r>
      <w:r w:rsidR="007C0F79">
        <w:t>$1440</w:t>
      </w:r>
      <w:r w:rsidR="00532941">
        <w:t>;</w:t>
      </w:r>
      <w:r w:rsidR="00A67062">
        <w:t xml:space="preserve"> </w:t>
      </w:r>
      <w:r w:rsidR="00DA44ED">
        <w:t>credit income taxes payable by $16,860</w:t>
      </w:r>
    </w:p>
    <w:p w14:paraId="6F3E9FC7" w14:textId="1AEEE940" w:rsidR="00A67062" w:rsidRDefault="00A67062" w:rsidP="007810ED">
      <w:pPr>
        <w:pStyle w:val="PargrafodaLista"/>
      </w:pPr>
      <w:r>
        <w:t>Tax liability 6,000 x 24%=1440</w:t>
      </w:r>
      <w:r w:rsidR="00D04A98">
        <w:t>; income taxes paya</w:t>
      </w:r>
      <w:r w:rsidR="00BA5C9C">
        <w:t>ble 18300-1440=16860</w:t>
      </w:r>
    </w:p>
    <w:p w14:paraId="5A76FB57" w14:textId="21951033" w:rsidR="007B104D" w:rsidRDefault="007B104D" w:rsidP="007810ED">
      <w:pPr>
        <w:pStyle w:val="PargrafodaLista"/>
      </w:pPr>
    </w:p>
    <w:p w14:paraId="3433E78C" w14:textId="23865980" w:rsidR="00413DA9" w:rsidRDefault="008D3C50" w:rsidP="00081944">
      <w:pPr>
        <w:pStyle w:val="PargrafodaLista"/>
        <w:numPr>
          <w:ilvl w:val="0"/>
          <w:numId w:val="1"/>
        </w:numPr>
        <w:rPr>
          <w:b/>
          <w:bCs/>
        </w:rPr>
      </w:pPr>
      <w:r>
        <w:t xml:space="preserve"> The indirect effects of a change in an accounting principle are </w:t>
      </w:r>
      <w:r w:rsidR="005A13C8" w:rsidRPr="00081944">
        <w:rPr>
          <w:b/>
          <w:bCs/>
        </w:rPr>
        <w:t>reported in the period the change is made.</w:t>
      </w:r>
    </w:p>
    <w:p w14:paraId="2DA2B7E1" w14:textId="77777777" w:rsidR="00081944" w:rsidRPr="00081944" w:rsidRDefault="00081944" w:rsidP="00081944">
      <w:pPr>
        <w:pStyle w:val="PargrafodaLista"/>
        <w:rPr>
          <w:b/>
          <w:bCs/>
        </w:rPr>
      </w:pPr>
    </w:p>
    <w:p w14:paraId="74243F71" w14:textId="4C7A93B4" w:rsidR="00081944" w:rsidRPr="00F66C3A" w:rsidRDefault="00C32026" w:rsidP="00081944">
      <w:pPr>
        <w:pStyle w:val="PargrafodaLista"/>
        <w:numPr>
          <w:ilvl w:val="0"/>
          <w:numId w:val="1"/>
        </w:numPr>
        <w:rPr>
          <w:b/>
          <w:bCs/>
        </w:rPr>
      </w:pPr>
      <w:r>
        <w:t xml:space="preserve">The CFO of </w:t>
      </w:r>
      <w:proofErr w:type="spellStart"/>
      <w:r>
        <w:t>Diyo</w:t>
      </w:r>
      <w:proofErr w:type="spellEnd"/>
      <w:r>
        <w:t xml:space="preserve"> solutions finds that the current usage patterns of the machinery used for production differ from expectations. The CFO decides to change the depreciation method. As a result, he should decide.</w:t>
      </w:r>
    </w:p>
    <w:p w14:paraId="17A41221" w14:textId="77777777" w:rsidR="00F66C3A" w:rsidRPr="008C75F7" w:rsidRDefault="00F66C3A" w:rsidP="00F66C3A">
      <w:pPr>
        <w:pStyle w:val="PargrafodaLista"/>
      </w:pPr>
    </w:p>
    <w:p w14:paraId="15812CE5" w14:textId="1FCBFEAF" w:rsidR="00F66C3A" w:rsidRDefault="007B76BC" w:rsidP="00F66C3A">
      <w:pPr>
        <w:pStyle w:val="PargrafodaLista"/>
      </w:pPr>
      <w:r w:rsidRPr="008C75F7">
        <w:t xml:space="preserve">To report this change by the current and prospective </w:t>
      </w:r>
      <w:r w:rsidR="00D664CD" w:rsidRPr="008C75F7">
        <w:t>application;</w:t>
      </w:r>
      <w:r w:rsidRPr="008C75F7">
        <w:t xml:space="preserve"> not to restate the prior financial statements.</w:t>
      </w:r>
    </w:p>
    <w:p w14:paraId="6FF643D5" w14:textId="55952E6D" w:rsidR="00D664CD" w:rsidRDefault="00D664CD" w:rsidP="00F66C3A">
      <w:pPr>
        <w:pStyle w:val="PargrafodaLista"/>
      </w:pPr>
    </w:p>
    <w:p w14:paraId="5722E2BD" w14:textId="3E83EC67" w:rsidR="00D664CD" w:rsidRPr="008C75F7" w:rsidRDefault="00D664CD" w:rsidP="00D664CD">
      <w:pPr>
        <w:pStyle w:val="PargrafodaLista"/>
        <w:numPr>
          <w:ilvl w:val="0"/>
          <w:numId w:val="1"/>
        </w:numPr>
      </w:pPr>
      <w:r>
        <w:t xml:space="preserve">Which of the following is true of the treatment of interim expenses incurred by </w:t>
      </w:r>
      <w:r w:rsidR="000D4EC2">
        <w:t>a company?</w:t>
      </w:r>
    </w:p>
    <w:p w14:paraId="27C70C63" w14:textId="7461E795" w:rsidR="00077717" w:rsidRDefault="000D4EC2" w:rsidP="00B475DF">
      <w:pPr>
        <w:jc w:val="both"/>
      </w:pPr>
      <w:r>
        <w:t>They may be charged to the interim period in which they are incurred; they may be allocated to several interim periods; they may be accrued as an estimated liability</w:t>
      </w:r>
      <w:r w:rsidR="00077717">
        <w:t>.</w:t>
      </w:r>
    </w:p>
    <w:p w14:paraId="6AFE3AE8" w14:textId="608BE594" w:rsidR="00907846" w:rsidRDefault="00907846" w:rsidP="00907846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Which of the following statements is true of the income tax expense shown on the income </w:t>
      </w:r>
      <w:proofErr w:type="gramStart"/>
      <w:r>
        <w:t>statement ?</w:t>
      </w:r>
      <w:proofErr w:type="gramEnd"/>
    </w:p>
    <w:p w14:paraId="2C7500A1" w14:textId="049682B9" w:rsidR="00B475DF" w:rsidRPr="00E83B1A" w:rsidRDefault="000D4EC2" w:rsidP="00B475DF">
      <w:pPr>
        <w:jc w:val="both"/>
      </w:pPr>
      <w:r>
        <w:t xml:space="preserve"> </w:t>
      </w:r>
      <w:r w:rsidR="00421B00">
        <w:t xml:space="preserve">The income tax expense is the sum of the income tax </w:t>
      </w:r>
      <w:proofErr w:type="gramStart"/>
      <w:r w:rsidR="00421B00">
        <w:t>actually payable</w:t>
      </w:r>
      <w:proofErr w:type="gramEnd"/>
      <w:r w:rsidR="00421B00">
        <w:t xml:space="preserve"> in the period and the amount of the tax deferral for the period.</w:t>
      </w:r>
    </w:p>
    <w:sectPr w:rsidR="00B475DF" w:rsidRPr="00E8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96CD8"/>
    <w:multiLevelType w:val="hybridMultilevel"/>
    <w:tmpl w:val="FE827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84"/>
    <w:rsid w:val="00067B73"/>
    <w:rsid w:val="00077717"/>
    <w:rsid w:val="00081944"/>
    <w:rsid w:val="000D4EC2"/>
    <w:rsid w:val="00111C1A"/>
    <w:rsid w:val="0013485E"/>
    <w:rsid w:val="001A4618"/>
    <w:rsid w:val="001A5954"/>
    <w:rsid w:val="001F1D0B"/>
    <w:rsid w:val="00205E84"/>
    <w:rsid w:val="00232926"/>
    <w:rsid w:val="00264B96"/>
    <w:rsid w:val="00325939"/>
    <w:rsid w:val="00336703"/>
    <w:rsid w:val="00367510"/>
    <w:rsid w:val="003A76F3"/>
    <w:rsid w:val="003B580C"/>
    <w:rsid w:val="0041237A"/>
    <w:rsid w:val="00413DA9"/>
    <w:rsid w:val="00421B00"/>
    <w:rsid w:val="00532941"/>
    <w:rsid w:val="00557257"/>
    <w:rsid w:val="00574074"/>
    <w:rsid w:val="005A13C8"/>
    <w:rsid w:val="005B050A"/>
    <w:rsid w:val="00664CBB"/>
    <w:rsid w:val="006E1054"/>
    <w:rsid w:val="007002C2"/>
    <w:rsid w:val="007810ED"/>
    <w:rsid w:val="007B104D"/>
    <w:rsid w:val="007B6FA8"/>
    <w:rsid w:val="007B76BC"/>
    <w:rsid w:val="007C0ED2"/>
    <w:rsid w:val="007C0F79"/>
    <w:rsid w:val="00813E15"/>
    <w:rsid w:val="008147C6"/>
    <w:rsid w:val="008715F8"/>
    <w:rsid w:val="00880DB3"/>
    <w:rsid w:val="008966BA"/>
    <w:rsid w:val="008A2FDE"/>
    <w:rsid w:val="008C75F7"/>
    <w:rsid w:val="008D3C50"/>
    <w:rsid w:val="00907846"/>
    <w:rsid w:val="00907BEF"/>
    <w:rsid w:val="00982383"/>
    <w:rsid w:val="009B42ED"/>
    <w:rsid w:val="009F0A67"/>
    <w:rsid w:val="009F5842"/>
    <w:rsid w:val="00A14D5B"/>
    <w:rsid w:val="00A67062"/>
    <w:rsid w:val="00B475DF"/>
    <w:rsid w:val="00B64F65"/>
    <w:rsid w:val="00BA5C9C"/>
    <w:rsid w:val="00BE49F4"/>
    <w:rsid w:val="00BE7CAC"/>
    <w:rsid w:val="00C32026"/>
    <w:rsid w:val="00C64791"/>
    <w:rsid w:val="00CD4C9E"/>
    <w:rsid w:val="00D04A98"/>
    <w:rsid w:val="00D65535"/>
    <w:rsid w:val="00D664CD"/>
    <w:rsid w:val="00DA44ED"/>
    <w:rsid w:val="00DF5A81"/>
    <w:rsid w:val="00E2134C"/>
    <w:rsid w:val="00E83B1A"/>
    <w:rsid w:val="00E975C3"/>
    <w:rsid w:val="00ED7507"/>
    <w:rsid w:val="00F61DE3"/>
    <w:rsid w:val="00F66C3A"/>
    <w:rsid w:val="00FC13AA"/>
    <w:rsid w:val="00FD15DE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6689"/>
  <w15:chartTrackingRefBased/>
  <w15:docId w15:val="{8EAA08F8-18E8-401B-BE40-6300034B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E84"/>
    <w:pPr>
      <w:ind w:left="720"/>
      <w:contextualSpacing/>
    </w:pPr>
  </w:style>
  <w:style w:type="character" w:customStyle="1" w:styleId="loidcl8d27ce3e-3c5e-49ca-b4c5-af7c83af4cb4">
    <w:name w:val="loid_cl8d27ce3e-3c5e-49ca-b4c5-af7c83af4cb4"/>
    <w:basedOn w:val="Fontepargpadro"/>
    <w:rsid w:val="00B475DF"/>
  </w:style>
  <w:style w:type="character" w:customStyle="1" w:styleId="loidcld57f4fef-ae9a-490b-8799-a2ec68b62b35">
    <w:name w:val="loid_cld57f4fef-ae9a-490b-8799-a2ec68b62b35"/>
    <w:basedOn w:val="Fontepargpadro"/>
    <w:rsid w:val="00E2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Mari</dc:creator>
  <cp:keywords/>
  <dc:description/>
  <cp:lastModifiedBy>Vania Mari</cp:lastModifiedBy>
  <cp:revision>66</cp:revision>
  <dcterms:created xsi:type="dcterms:W3CDTF">2021-02-02T02:01:00Z</dcterms:created>
  <dcterms:modified xsi:type="dcterms:W3CDTF">2021-02-04T03:43:00Z</dcterms:modified>
</cp:coreProperties>
</file>