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51419" w14:textId="4973B922" w:rsidR="00E14E49" w:rsidRDefault="00E976EF">
      <w:r>
        <w:t>The number of heart surgeries performed at a hospital has increased over the past several years. The hospital’s administration is seeking the best method to forecast the demand for such surgeries in Year 6. The data for the past five years is shown.</w:t>
      </w:r>
    </w:p>
    <w:tbl>
      <w:tblPr>
        <w:tblStyle w:val="TableGrid"/>
        <w:tblW w:w="0" w:type="auto"/>
        <w:tblLook w:val="04A0" w:firstRow="1" w:lastRow="0" w:firstColumn="1" w:lastColumn="0" w:noHBand="0" w:noVBand="1"/>
      </w:tblPr>
      <w:tblGrid>
        <w:gridCol w:w="775"/>
        <w:gridCol w:w="1083"/>
      </w:tblGrid>
      <w:tr w:rsidR="00E976EF" w14:paraId="3C44A095" w14:textId="77777777" w:rsidTr="002B4670">
        <w:tc>
          <w:tcPr>
            <w:tcW w:w="775" w:type="dxa"/>
            <w:shd w:val="clear" w:color="auto" w:fill="D9D9D9" w:themeFill="background1" w:themeFillShade="D9"/>
          </w:tcPr>
          <w:p w14:paraId="2D945B8E" w14:textId="2666E15C" w:rsidR="00E976EF" w:rsidRDefault="00E976EF">
            <w:r>
              <w:t xml:space="preserve">Year </w:t>
            </w:r>
          </w:p>
        </w:tc>
        <w:tc>
          <w:tcPr>
            <w:tcW w:w="1083" w:type="dxa"/>
            <w:shd w:val="clear" w:color="auto" w:fill="D9D9D9" w:themeFill="background1" w:themeFillShade="D9"/>
          </w:tcPr>
          <w:p w14:paraId="2F892B08" w14:textId="3A13D946" w:rsidR="00E976EF" w:rsidRDefault="00E976EF">
            <w:r>
              <w:t>Demand</w:t>
            </w:r>
          </w:p>
        </w:tc>
      </w:tr>
      <w:tr w:rsidR="00E976EF" w14:paraId="40B4201E" w14:textId="77777777" w:rsidTr="002B4670">
        <w:tc>
          <w:tcPr>
            <w:tcW w:w="775" w:type="dxa"/>
          </w:tcPr>
          <w:p w14:paraId="2FD14354" w14:textId="210D4362" w:rsidR="00E976EF" w:rsidRDefault="002B4670">
            <w:r>
              <w:t>1</w:t>
            </w:r>
          </w:p>
        </w:tc>
        <w:tc>
          <w:tcPr>
            <w:tcW w:w="1083" w:type="dxa"/>
          </w:tcPr>
          <w:p w14:paraId="0A10C722" w14:textId="475625FB" w:rsidR="00E976EF" w:rsidRDefault="00F2555F">
            <w:r>
              <w:t>130</w:t>
            </w:r>
          </w:p>
        </w:tc>
      </w:tr>
      <w:tr w:rsidR="00E976EF" w14:paraId="253A26E3" w14:textId="77777777" w:rsidTr="002B4670">
        <w:tc>
          <w:tcPr>
            <w:tcW w:w="775" w:type="dxa"/>
          </w:tcPr>
          <w:p w14:paraId="594104A6" w14:textId="14DEDB59" w:rsidR="00E976EF" w:rsidRDefault="002B4670">
            <w:r>
              <w:t>2</w:t>
            </w:r>
          </w:p>
        </w:tc>
        <w:tc>
          <w:tcPr>
            <w:tcW w:w="1083" w:type="dxa"/>
          </w:tcPr>
          <w:p w14:paraId="2E5C47C5" w14:textId="1C4FF592" w:rsidR="00E976EF" w:rsidRDefault="00F2555F">
            <w:r>
              <w:t>139</w:t>
            </w:r>
          </w:p>
        </w:tc>
      </w:tr>
      <w:tr w:rsidR="00E976EF" w14:paraId="3A26961A" w14:textId="77777777" w:rsidTr="002B4670">
        <w:tc>
          <w:tcPr>
            <w:tcW w:w="775" w:type="dxa"/>
          </w:tcPr>
          <w:p w14:paraId="42F28F88" w14:textId="4491A984" w:rsidR="00E976EF" w:rsidRDefault="002B4670">
            <w:r>
              <w:t>3</w:t>
            </w:r>
          </w:p>
        </w:tc>
        <w:tc>
          <w:tcPr>
            <w:tcW w:w="1083" w:type="dxa"/>
          </w:tcPr>
          <w:p w14:paraId="6E792FAB" w14:textId="0FE11664" w:rsidR="00E976EF" w:rsidRDefault="00F2555F">
            <w:r>
              <w:t>135</w:t>
            </w:r>
          </w:p>
        </w:tc>
      </w:tr>
      <w:tr w:rsidR="00E976EF" w14:paraId="4E74CF08" w14:textId="77777777" w:rsidTr="002B4670">
        <w:tc>
          <w:tcPr>
            <w:tcW w:w="775" w:type="dxa"/>
          </w:tcPr>
          <w:p w14:paraId="75593B55" w14:textId="23211209" w:rsidR="00E976EF" w:rsidRDefault="002B4670">
            <w:r>
              <w:t>4</w:t>
            </w:r>
          </w:p>
        </w:tc>
        <w:tc>
          <w:tcPr>
            <w:tcW w:w="1083" w:type="dxa"/>
          </w:tcPr>
          <w:p w14:paraId="7B462E8D" w14:textId="17D538F6" w:rsidR="00E976EF" w:rsidRDefault="00F2555F">
            <w:r>
              <w:t>144</w:t>
            </w:r>
          </w:p>
        </w:tc>
      </w:tr>
      <w:tr w:rsidR="00E976EF" w14:paraId="4E7CEC0F" w14:textId="77777777" w:rsidTr="002B4670">
        <w:tc>
          <w:tcPr>
            <w:tcW w:w="775" w:type="dxa"/>
          </w:tcPr>
          <w:p w14:paraId="723750D4" w14:textId="46BD9805" w:rsidR="00E976EF" w:rsidRDefault="002B4670">
            <w:r>
              <w:t>5</w:t>
            </w:r>
          </w:p>
        </w:tc>
        <w:tc>
          <w:tcPr>
            <w:tcW w:w="1083" w:type="dxa"/>
          </w:tcPr>
          <w:p w14:paraId="4F24B692" w14:textId="1A98FE0F" w:rsidR="00E976EF" w:rsidRDefault="00F2555F">
            <w:r>
              <w:t>141</w:t>
            </w:r>
          </w:p>
        </w:tc>
      </w:tr>
    </w:tbl>
    <w:p w14:paraId="570653EE" w14:textId="32696C54" w:rsidR="002B4670" w:rsidRDefault="002B4670"/>
    <w:p w14:paraId="116DAF21" w14:textId="57803E55" w:rsidR="002B4670" w:rsidRDefault="002B4670">
      <w:r>
        <w:t xml:space="preserve">The hospital is considering the following forecasting methods. </w:t>
      </w:r>
      <w:r w:rsidR="00C130D8">
        <w:t xml:space="preserve">Compare the performance of these methods using the mean squared error (MSE). </w:t>
      </w:r>
      <w:r>
        <w:t>Begin error measurements in year 3 so all methods are compared for the same years.</w:t>
      </w:r>
    </w:p>
    <w:p w14:paraId="254AFAA5" w14:textId="579A6F07" w:rsidR="002B4670" w:rsidRDefault="002B4670" w:rsidP="002B4670">
      <w:pPr>
        <w:pStyle w:val="ListParagraph"/>
        <w:numPr>
          <w:ilvl w:val="0"/>
          <w:numId w:val="1"/>
        </w:numPr>
      </w:pPr>
      <w:r>
        <w:t xml:space="preserve">Exponential smoothing, with </w:t>
      </w:r>
      <w:r>
        <w:rPr>
          <w:rFonts w:cstheme="minorHAnsi"/>
        </w:rPr>
        <w:t>α</w:t>
      </w:r>
      <w:r>
        <w:t xml:space="preserve"> = 0.</w:t>
      </w:r>
      <w:r w:rsidR="00C21AD4">
        <w:t>5</w:t>
      </w:r>
      <w:r>
        <w:t xml:space="preserve">. let the initial forecast for year 1= </w:t>
      </w:r>
      <w:r w:rsidR="00C21AD4">
        <w:t>130</w:t>
      </w:r>
      <w:r>
        <w:t>, the same as the actual demand.</w:t>
      </w:r>
    </w:p>
    <w:p w14:paraId="4A2FBA7B" w14:textId="77777777" w:rsidR="002B4670" w:rsidRDefault="002B4670" w:rsidP="002B4670">
      <w:pPr>
        <w:pStyle w:val="ListParagraph"/>
        <w:numPr>
          <w:ilvl w:val="0"/>
          <w:numId w:val="1"/>
        </w:numPr>
      </w:pPr>
      <w:r>
        <w:t>Two-year simple moving average</w:t>
      </w:r>
    </w:p>
    <w:p w14:paraId="4CFE37BE" w14:textId="239C4948" w:rsidR="00C130D8" w:rsidRDefault="00C130D8" w:rsidP="002B4670">
      <w:pPr>
        <w:pStyle w:val="ListParagraph"/>
        <w:numPr>
          <w:ilvl w:val="0"/>
          <w:numId w:val="1"/>
        </w:numPr>
      </w:pPr>
      <w:r>
        <w:t>Two-year weighted moving average, using weights 0.</w:t>
      </w:r>
      <w:r w:rsidR="00C21AD4">
        <w:t>7</w:t>
      </w:r>
      <w:r>
        <w:t xml:space="preserve"> and 0.</w:t>
      </w:r>
      <w:r w:rsidR="00C21AD4">
        <w:t>3</w:t>
      </w:r>
      <w:bookmarkStart w:id="0" w:name="_GoBack"/>
      <w:bookmarkEnd w:id="0"/>
      <w:r>
        <w:t xml:space="preserve">, with more recent data given more weight. </w:t>
      </w:r>
    </w:p>
    <w:p w14:paraId="04A434D3" w14:textId="236A7587" w:rsidR="00C130D8" w:rsidRDefault="00C93BB3" w:rsidP="00C130D8">
      <w:pPr>
        <w:rPr>
          <w:b/>
          <w:bCs/>
          <w:sz w:val="28"/>
          <w:szCs w:val="28"/>
          <w:u w:val="single"/>
        </w:rPr>
      </w:pPr>
      <w:r>
        <w:rPr>
          <w:b/>
          <w:bCs/>
          <w:sz w:val="28"/>
          <w:szCs w:val="28"/>
          <w:u w:val="single"/>
        </w:rPr>
        <w:t xml:space="preserve">Solve this problem on </w:t>
      </w:r>
      <w:r w:rsidRPr="00C93BB3">
        <w:rPr>
          <w:b/>
          <w:bCs/>
          <w:sz w:val="28"/>
          <w:szCs w:val="28"/>
          <w:u w:val="single"/>
        </w:rPr>
        <w:t>a separate paper</w:t>
      </w:r>
      <w:r>
        <w:rPr>
          <w:b/>
          <w:bCs/>
          <w:sz w:val="28"/>
          <w:szCs w:val="28"/>
          <w:u w:val="single"/>
        </w:rPr>
        <w:t>. Then, u</w:t>
      </w:r>
      <w:r w:rsidR="00C130D8" w:rsidRPr="00C130D8">
        <w:rPr>
          <w:b/>
          <w:bCs/>
          <w:sz w:val="28"/>
          <w:szCs w:val="28"/>
          <w:u w:val="single"/>
        </w:rPr>
        <w:t>se the results to complete the table</w:t>
      </w:r>
      <w:r w:rsidR="00C130D8">
        <w:rPr>
          <w:b/>
          <w:bCs/>
          <w:sz w:val="28"/>
          <w:szCs w:val="28"/>
          <w:u w:val="single"/>
        </w:rPr>
        <w:t>s</w:t>
      </w:r>
      <w:r w:rsidR="00C130D8" w:rsidRPr="00C130D8">
        <w:rPr>
          <w:b/>
          <w:bCs/>
          <w:sz w:val="28"/>
          <w:szCs w:val="28"/>
          <w:u w:val="single"/>
        </w:rPr>
        <w:t xml:space="preserve"> provided below, save the file and then submit it on E-learning.</w:t>
      </w:r>
    </w:p>
    <w:p w14:paraId="462B7510" w14:textId="77777777" w:rsidR="00143A04" w:rsidRDefault="00143A04" w:rsidP="00C130D8"/>
    <w:p w14:paraId="672822BB" w14:textId="62A6E4B9" w:rsidR="00C130D8" w:rsidRDefault="00166E12" w:rsidP="00C130D8">
      <w:r>
        <w:t>1- Exponential smoothing:</w:t>
      </w:r>
    </w:p>
    <w:tbl>
      <w:tblPr>
        <w:tblStyle w:val="TableGrid"/>
        <w:tblW w:w="0" w:type="auto"/>
        <w:tblLook w:val="04A0" w:firstRow="1" w:lastRow="0" w:firstColumn="1" w:lastColumn="0" w:noHBand="0" w:noVBand="1"/>
      </w:tblPr>
      <w:tblGrid>
        <w:gridCol w:w="2337"/>
        <w:gridCol w:w="2337"/>
        <w:gridCol w:w="2338"/>
        <w:gridCol w:w="2338"/>
      </w:tblGrid>
      <w:tr w:rsidR="00166E12" w14:paraId="139F89A3" w14:textId="77777777" w:rsidTr="00166E12">
        <w:tc>
          <w:tcPr>
            <w:tcW w:w="2337" w:type="dxa"/>
            <w:shd w:val="clear" w:color="auto" w:fill="D9D9D9" w:themeFill="background1" w:themeFillShade="D9"/>
          </w:tcPr>
          <w:p w14:paraId="7CAC617C" w14:textId="60633339" w:rsidR="00166E12" w:rsidRDefault="00166E12" w:rsidP="00C130D8">
            <w:r>
              <w:t xml:space="preserve">Year </w:t>
            </w:r>
          </w:p>
        </w:tc>
        <w:tc>
          <w:tcPr>
            <w:tcW w:w="2337" w:type="dxa"/>
            <w:shd w:val="clear" w:color="auto" w:fill="D9D9D9" w:themeFill="background1" w:themeFillShade="D9"/>
          </w:tcPr>
          <w:p w14:paraId="7C24C030" w14:textId="7FBC4288" w:rsidR="00166E12" w:rsidRDefault="00166E12" w:rsidP="00C130D8">
            <w:r>
              <w:t xml:space="preserve">Forecast </w:t>
            </w:r>
          </w:p>
        </w:tc>
        <w:tc>
          <w:tcPr>
            <w:tcW w:w="2338" w:type="dxa"/>
            <w:shd w:val="clear" w:color="auto" w:fill="D9D9D9" w:themeFill="background1" w:themeFillShade="D9"/>
          </w:tcPr>
          <w:p w14:paraId="28EDF23E" w14:textId="0D3E3194" w:rsidR="00166E12" w:rsidRDefault="00166E12" w:rsidP="00C130D8">
            <w:r>
              <w:t xml:space="preserve">Forecast error (E) </w:t>
            </w:r>
          </w:p>
        </w:tc>
        <w:tc>
          <w:tcPr>
            <w:tcW w:w="2338" w:type="dxa"/>
            <w:shd w:val="clear" w:color="auto" w:fill="D9D9D9" w:themeFill="background1" w:themeFillShade="D9"/>
          </w:tcPr>
          <w:p w14:paraId="4B72F14A" w14:textId="044BA523" w:rsidR="00166E12" w:rsidRPr="00166E12" w:rsidRDefault="00166E12" w:rsidP="00C130D8">
            <w:pPr>
              <w:rPr>
                <w:vertAlign w:val="superscript"/>
              </w:rPr>
            </w:pPr>
            <w:r>
              <w:t>E</w:t>
            </w:r>
            <w:r>
              <w:rPr>
                <w:vertAlign w:val="superscript"/>
              </w:rPr>
              <w:t>2</w:t>
            </w:r>
          </w:p>
        </w:tc>
      </w:tr>
      <w:tr w:rsidR="00166E12" w14:paraId="772F38F3" w14:textId="77777777" w:rsidTr="00166E12">
        <w:tc>
          <w:tcPr>
            <w:tcW w:w="2337" w:type="dxa"/>
          </w:tcPr>
          <w:p w14:paraId="02406B8A" w14:textId="41327995" w:rsidR="00166E12" w:rsidRDefault="00166E12" w:rsidP="00C130D8">
            <w:r>
              <w:t>3</w:t>
            </w:r>
          </w:p>
        </w:tc>
        <w:tc>
          <w:tcPr>
            <w:tcW w:w="2337" w:type="dxa"/>
          </w:tcPr>
          <w:p w14:paraId="7C6A3B6F" w14:textId="77777777" w:rsidR="00166E12" w:rsidRDefault="00166E12" w:rsidP="00C130D8"/>
        </w:tc>
        <w:tc>
          <w:tcPr>
            <w:tcW w:w="2338" w:type="dxa"/>
          </w:tcPr>
          <w:p w14:paraId="12771B46" w14:textId="77777777" w:rsidR="00166E12" w:rsidRDefault="00166E12" w:rsidP="00C130D8"/>
        </w:tc>
        <w:tc>
          <w:tcPr>
            <w:tcW w:w="2338" w:type="dxa"/>
          </w:tcPr>
          <w:p w14:paraId="7E5DFFE7" w14:textId="77777777" w:rsidR="00166E12" w:rsidRDefault="00166E12" w:rsidP="00C130D8"/>
        </w:tc>
      </w:tr>
      <w:tr w:rsidR="00166E12" w14:paraId="470384D8" w14:textId="77777777" w:rsidTr="00166E12">
        <w:tc>
          <w:tcPr>
            <w:tcW w:w="2337" w:type="dxa"/>
          </w:tcPr>
          <w:p w14:paraId="69A8C22D" w14:textId="486F31F4" w:rsidR="00166E12" w:rsidRDefault="00166E12" w:rsidP="00C130D8">
            <w:r>
              <w:t>4</w:t>
            </w:r>
          </w:p>
        </w:tc>
        <w:tc>
          <w:tcPr>
            <w:tcW w:w="2337" w:type="dxa"/>
          </w:tcPr>
          <w:p w14:paraId="0A2E3AF4" w14:textId="77777777" w:rsidR="00166E12" w:rsidRDefault="00166E12" w:rsidP="00C130D8"/>
        </w:tc>
        <w:tc>
          <w:tcPr>
            <w:tcW w:w="2338" w:type="dxa"/>
          </w:tcPr>
          <w:p w14:paraId="2A9846C2" w14:textId="77777777" w:rsidR="00166E12" w:rsidRDefault="00166E12" w:rsidP="00C130D8"/>
        </w:tc>
        <w:tc>
          <w:tcPr>
            <w:tcW w:w="2338" w:type="dxa"/>
          </w:tcPr>
          <w:p w14:paraId="2EDF4915" w14:textId="77777777" w:rsidR="00166E12" w:rsidRDefault="00166E12" w:rsidP="00C130D8"/>
        </w:tc>
      </w:tr>
      <w:tr w:rsidR="00166E12" w14:paraId="7901DA69" w14:textId="77777777" w:rsidTr="00166E12">
        <w:tc>
          <w:tcPr>
            <w:tcW w:w="2337" w:type="dxa"/>
          </w:tcPr>
          <w:p w14:paraId="6D0C209E" w14:textId="6CDC3BE6" w:rsidR="00166E12" w:rsidRDefault="00166E12" w:rsidP="00C130D8">
            <w:r>
              <w:t>5</w:t>
            </w:r>
          </w:p>
        </w:tc>
        <w:tc>
          <w:tcPr>
            <w:tcW w:w="2337" w:type="dxa"/>
          </w:tcPr>
          <w:p w14:paraId="054C388D" w14:textId="77777777" w:rsidR="00166E12" w:rsidRDefault="00166E12" w:rsidP="00C130D8"/>
        </w:tc>
        <w:tc>
          <w:tcPr>
            <w:tcW w:w="2338" w:type="dxa"/>
          </w:tcPr>
          <w:p w14:paraId="5822231B" w14:textId="77777777" w:rsidR="00166E12" w:rsidRDefault="00166E12" w:rsidP="00C130D8"/>
        </w:tc>
        <w:tc>
          <w:tcPr>
            <w:tcW w:w="2338" w:type="dxa"/>
          </w:tcPr>
          <w:p w14:paraId="30A9B141" w14:textId="77777777" w:rsidR="00166E12" w:rsidRDefault="00166E12" w:rsidP="00C130D8"/>
        </w:tc>
      </w:tr>
    </w:tbl>
    <w:p w14:paraId="19B15313" w14:textId="77777777" w:rsidR="00166E12" w:rsidRDefault="002B4670" w:rsidP="00C130D8">
      <w:r>
        <w:t xml:space="preserve"> </w:t>
      </w:r>
    </w:p>
    <w:tbl>
      <w:tblPr>
        <w:tblStyle w:val="TableGrid"/>
        <w:tblW w:w="0" w:type="auto"/>
        <w:tblLook w:val="04A0" w:firstRow="1" w:lastRow="0" w:firstColumn="1" w:lastColumn="0" w:noHBand="0" w:noVBand="1"/>
      </w:tblPr>
      <w:tblGrid>
        <w:gridCol w:w="1255"/>
        <w:gridCol w:w="1620"/>
      </w:tblGrid>
      <w:tr w:rsidR="00166E12" w14:paraId="42A2CCDE" w14:textId="77777777" w:rsidTr="00166E12">
        <w:tc>
          <w:tcPr>
            <w:tcW w:w="1255" w:type="dxa"/>
            <w:shd w:val="clear" w:color="auto" w:fill="D9D9D9" w:themeFill="background1" w:themeFillShade="D9"/>
          </w:tcPr>
          <w:p w14:paraId="01716190" w14:textId="74CBBFE9" w:rsidR="00166E12" w:rsidRDefault="00166E12" w:rsidP="00166E12">
            <w:r>
              <w:t>MSE</w:t>
            </w:r>
          </w:p>
        </w:tc>
        <w:tc>
          <w:tcPr>
            <w:tcW w:w="1620" w:type="dxa"/>
          </w:tcPr>
          <w:p w14:paraId="75B883BC" w14:textId="77777777" w:rsidR="00166E12" w:rsidRDefault="00166E12" w:rsidP="00C130D8"/>
        </w:tc>
      </w:tr>
    </w:tbl>
    <w:p w14:paraId="0AA940F4" w14:textId="418BA0F8" w:rsidR="002B4670" w:rsidRDefault="002B4670" w:rsidP="00C130D8"/>
    <w:p w14:paraId="534C67FB" w14:textId="720436B1" w:rsidR="00166E12" w:rsidRDefault="002524B8" w:rsidP="00166E12">
      <w:r>
        <w:t>2</w:t>
      </w:r>
      <w:r w:rsidR="00166E12">
        <w:t xml:space="preserve">- Two-year simple moving </w:t>
      </w:r>
      <w:r>
        <w:t>average</w:t>
      </w:r>
      <w:r w:rsidR="00166E12">
        <w:t>:</w:t>
      </w:r>
    </w:p>
    <w:tbl>
      <w:tblPr>
        <w:tblStyle w:val="TableGrid"/>
        <w:tblW w:w="0" w:type="auto"/>
        <w:tblLook w:val="04A0" w:firstRow="1" w:lastRow="0" w:firstColumn="1" w:lastColumn="0" w:noHBand="0" w:noVBand="1"/>
      </w:tblPr>
      <w:tblGrid>
        <w:gridCol w:w="2337"/>
        <w:gridCol w:w="2337"/>
        <w:gridCol w:w="2338"/>
        <w:gridCol w:w="2338"/>
      </w:tblGrid>
      <w:tr w:rsidR="00166E12" w14:paraId="13D2A94A" w14:textId="77777777" w:rsidTr="000E3BD5">
        <w:tc>
          <w:tcPr>
            <w:tcW w:w="2337" w:type="dxa"/>
            <w:shd w:val="clear" w:color="auto" w:fill="D9D9D9" w:themeFill="background1" w:themeFillShade="D9"/>
          </w:tcPr>
          <w:p w14:paraId="353DE2C6" w14:textId="77777777" w:rsidR="00166E12" w:rsidRDefault="00166E12" w:rsidP="000E3BD5">
            <w:r>
              <w:t xml:space="preserve">Year </w:t>
            </w:r>
          </w:p>
        </w:tc>
        <w:tc>
          <w:tcPr>
            <w:tcW w:w="2337" w:type="dxa"/>
            <w:shd w:val="clear" w:color="auto" w:fill="D9D9D9" w:themeFill="background1" w:themeFillShade="D9"/>
          </w:tcPr>
          <w:p w14:paraId="2231908F" w14:textId="77777777" w:rsidR="00166E12" w:rsidRDefault="00166E12" w:rsidP="000E3BD5">
            <w:r>
              <w:t xml:space="preserve">Forecast </w:t>
            </w:r>
          </w:p>
        </w:tc>
        <w:tc>
          <w:tcPr>
            <w:tcW w:w="2338" w:type="dxa"/>
            <w:shd w:val="clear" w:color="auto" w:fill="D9D9D9" w:themeFill="background1" w:themeFillShade="D9"/>
          </w:tcPr>
          <w:p w14:paraId="6283947D" w14:textId="77777777" w:rsidR="00166E12" w:rsidRDefault="00166E12" w:rsidP="000E3BD5">
            <w:r>
              <w:t xml:space="preserve">Forecast error (E) </w:t>
            </w:r>
          </w:p>
        </w:tc>
        <w:tc>
          <w:tcPr>
            <w:tcW w:w="2338" w:type="dxa"/>
            <w:shd w:val="clear" w:color="auto" w:fill="D9D9D9" w:themeFill="background1" w:themeFillShade="D9"/>
          </w:tcPr>
          <w:p w14:paraId="6CE477BE" w14:textId="77777777" w:rsidR="00166E12" w:rsidRPr="00166E12" w:rsidRDefault="00166E12" w:rsidP="000E3BD5">
            <w:pPr>
              <w:rPr>
                <w:vertAlign w:val="superscript"/>
              </w:rPr>
            </w:pPr>
            <w:r>
              <w:t>E</w:t>
            </w:r>
            <w:r>
              <w:rPr>
                <w:vertAlign w:val="superscript"/>
              </w:rPr>
              <w:t>2</w:t>
            </w:r>
          </w:p>
        </w:tc>
      </w:tr>
      <w:tr w:rsidR="00166E12" w14:paraId="698215BA" w14:textId="77777777" w:rsidTr="000E3BD5">
        <w:tc>
          <w:tcPr>
            <w:tcW w:w="2337" w:type="dxa"/>
          </w:tcPr>
          <w:p w14:paraId="13B539B4" w14:textId="77777777" w:rsidR="00166E12" w:rsidRDefault="00166E12" w:rsidP="000E3BD5">
            <w:r>
              <w:t>3</w:t>
            </w:r>
          </w:p>
        </w:tc>
        <w:tc>
          <w:tcPr>
            <w:tcW w:w="2337" w:type="dxa"/>
          </w:tcPr>
          <w:p w14:paraId="2A735C40" w14:textId="77777777" w:rsidR="00166E12" w:rsidRDefault="00166E12" w:rsidP="000E3BD5"/>
        </w:tc>
        <w:tc>
          <w:tcPr>
            <w:tcW w:w="2338" w:type="dxa"/>
          </w:tcPr>
          <w:p w14:paraId="26A6BD06" w14:textId="77777777" w:rsidR="00166E12" w:rsidRDefault="00166E12" w:rsidP="000E3BD5"/>
        </w:tc>
        <w:tc>
          <w:tcPr>
            <w:tcW w:w="2338" w:type="dxa"/>
          </w:tcPr>
          <w:p w14:paraId="65AE4460" w14:textId="77777777" w:rsidR="00166E12" w:rsidRDefault="00166E12" w:rsidP="000E3BD5"/>
        </w:tc>
      </w:tr>
      <w:tr w:rsidR="00166E12" w14:paraId="40254E34" w14:textId="77777777" w:rsidTr="000E3BD5">
        <w:tc>
          <w:tcPr>
            <w:tcW w:w="2337" w:type="dxa"/>
          </w:tcPr>
          <w:p w14:paraId="3E886E44" w14:textId="77777777" w:rsidR="00166E12" w:rsidRDefault="00166E12" w:rsidP="000E3BD5">
            <w:r>
              <w:t>4</w:t>
            </w:r>
          </w:p>
        </w:tc>
        <w:tc>
          <w:tcPr>
            <w:tcW w:w="2337" w:type="dxa"/>
          </w:tcPr>
          <w:p w14:paraId="12FAFD8C" w14:textId="77777777" w:rsidR="00166E12" w:rsidRDefault="00166E12" w:rsidP="000E3BD5"/>
        </w:tc>
        <w:tc>
          <w:tcPr>
            <w:tcW w:w="2338" w:type="dxa"/>
          </w:tcPr>
          <w:p w14:paraId="41DDAB57" w14:textId="77777777" w:rsidR="00166E12" w:rsidRDefault="00166E12" w:rsidP="000E3BD5"/>
        </w:tc>
        <w:tc>
          <w:tcPr>
            <w:tcW w:w="2338" w:type="dxa"/>
          </w:tcPr>
          <w:p w14:paraId="70030D62" w14:textId="77777777" w:rsidR="00166E12" w:rsidRDefault="00166E12" w:rsidP="000E3BD5"/>
        </w:tc>
      </w:tr>
      <w:tr w:rsidR="00166E12" w14:paraId="39B74FB6" w14:textId="77777777" w:rsidTr="000E3BD5">
        <w:tc>
          <w:tcPr>
            <w:tcW w:w="2337" w:type="dxa"/>
          </w:tcPr>
          <w:p w14:paraId="7236066A" w14:textId="77777777" w:rsidR="00166E12" w:rsidRDefault="00166E12" w:rsidP="000E3BD5">
            <w:r>
              <w:t>5</w:t>
            </w:r>
          </w:p>
        </w:tc>
        <w:tc>
          <w:tcPr>
            <w:tcW w:w="2337" w:type="dxa"/>
          </w:tcPr>
          <w:p w14:paraId="1DA1156F" w14:textId="77777777" w:rsidR="00166E12" w:rsidRDefault="00166E12" w:rsidP="000E3BD5"/>
        </w:tc>
        <w:tc>
          <w:tcPr>
            <w:tcW w:w="2338" w:type="dxa"/>
          </w:tcPr>
          <w:p w14:paraId="47BFFFCB" w14:textId="77777777" w:rsidR="00166E12" w:rsidRDefault="00166E12" w:rsidP="000E3BD5"/>
        </w:tc>
        <w:tc>
          <w:tcPr>
            <w:tcW w:w="2338" w:type="dxa"/>
          </w:tcPr>
          <w:p w14:paraId="2BC4D8A0" w14:textId="77777777" w:rsidR="00166E12" w:rsidRDefault="00166E12" w:rsidP="000E3BD5"/>
        </w:tc>
      </w:tr>
    </w:tbl>
    <w:p w14:paraId="4879CDF0" w14:textId="77777777" w:rsidR="00166E12" w:rsidRDefault="00166E12" w:rsidP="00166E12">
      <w:r>
        <w:t xml:space="preserve"> </w:t>
      </w:r>
    </w:p>
    <w:tbl>
      <w:tblPr>
        <w:tblStyle w:val="TableGrid"/>
        <w:tblW w:w="0" w:type="auto"/>
        <w:tblLook w:val="04A0" w:firstRow="1" w:lastRow="0" w:firstColumn="1" w:lastColumn="0" w:noHBand="0" w:noVBand="1"/>
      </w:tblPr>
      <w:tblGrid>
        <w:gridCol w:w="1255"/>
        <w:gridCol w:w="1620"/>
      </w:tblGrid>
      <w:tr w:rsidR="00166E12" w14:paraId="6C53C4CC" w14:textId="77777777" w:rsidTr="000E3BD5">
        <w:tc>
          <w:tcPr>
            <w:tcW w:w="1255" w:type="dxa"/>
            <w:shd w:val="clear" w:color="auto" w:fill="D9D9D9" w:themeFill="background1" w:themeFillShade="D9"/>
          </w:tcPr>
          <w:p w14:paraId="03DE3B58" w14:textId="77777777" w:rsidR="00166E12" w:rsidRDefault="00166E12" w:rsidP="000E3BD5">
            <w:r>
              <w:t>MSE</w:t>
            </w:r>
          </w:p>
        </w:tc>
        <w:tc>
          <w:tcPr>
            <w:tcW w:w="1620" w:type="dxa"/>
          </w:tcPr>
          <w:p w14:paraId="7F97598F" w14:textId="77777777" w:rsidR="00166E12" w:rsidRDefault="00166E12" w:rsidP="000E3BD5"/>
        </w:tc>
      </w:tr>
    </w:tbl>
    <w:p w14:paraId="64B1BE11" w14:textId="6B74E08F" w:rsidR="00166E12" w:rsidRDefault="00166E12" w:rsidP="00166E12"/>
    <w:p w14:paraId="7DD7C8C1" w14:textId="5A3D893A" w:rsidR="00143A04" w:rsidRDefault="00143A04" w:rsidP="00166E12"/>
    <w:p w14:paraId="11D58B0A" w14:textId="4330237B" w:rsidR="00166E12" w:rsidRDefault="00143A04" w:rsidP="00166E12">
      <w:r>
        <w:lastRenderedPageBreak/>
        <w:t>3- Two-year weighted moving average</w:t>
      </w:r>
      <w:r w:rsidR="00166E12">
        <w:t>:</w:t>
      </w:r>
    </w:p>
    <w:tbl>
      <w:tblPr>
        <w:tblStyle w:val="TableGrid"/>
        <w:tblW w:w="0" w:type="auto"/>
        <w:tblLook w:val="04A0" w:firstRow="1" w:lastRow="0" w:firstColumn="1" w:lastColumn="0" w:noHBand="0" w:noVBand="1"/>
      </w:tblPr>
      <w:tblGrid>
        <w:gridCol w:w="2337"/>
        <w:gridCol w:w="2337"/>
        <w:gridCol w:w="2338"/>
        <w:gridCol w:w="2338"/>
      </w:tblGrid>
      <w:tr w:rsidR="00166E12" w14:paraId="1F5C180D" w14:textId="77777777" w:rsidTr="000E3BD5">
        <w:tc>
          <w:tcPr>
            <w:tcW w:w="2337" w:type="dxa"/>
            <w:shd w:val="clear" w:color="auto" w:fill="D9D9D9" w:themeFill="background1" w:themeFillShade="D9"/>
          </w:tcPr>
          <w:p w14:paraId="4843B195" w14:textId="77777777" w:rsidR="00166E12" w:rsidRDefault="00166E12" w:rsidP="000E3BD5">
            <w:r>
              <w:t xml:space="preserve">Year </w:t>
            </w:r>
          </w:p>
        </w:tc>
        <w:tc>
          <w:tcPr>
            <w:tcW w:w="2337" w:type="dxa"/>
            <w:shd w:val="clear" w:color="auto" w:fill="D9D9D9" w:themeFill="background1" w:themeFillShade="D9"/>
          </w:tcPr>
          <w:p w14:paraId="68008EBF" w14:textId="77777777" w:rsidR="00166E12" w:rsidRDefault="00166E12" w:rsidP="000E3BD5">
            <w:r>
              <w:t xml:space="preserve">Forecast </w:t>
            </w:r>
          </w:p>
        </w:tc>
        <w:tc>
          <w:tcPr>
            <w:tcW w:w="2338" w:type="dxa"/>
            <w:shd w:val="clear" w:color="auto" w:fill="D9D9D9" w:themeFill="background1" w:themeFillShade="D9"/>
          </w:tcPr>
          <w:p w14:paraId="78712B9F" w14:textId="77777777" w:rsidR="00166E12" w:rsidRDefault="00166E12" w:rsidP="000E3BD5">
            <w:r>
              <w:t xml:space="preserve">Forecast error (E) </w:t>
            </w:r>
          </w:p>
        </w:tc>
        <w:tc>
          <w:tcPr>
            <w:tcW w:w="2338" w:type="dxa"/>
            <w:shd w:val="clear" w:color="auto" w:fill="D9D9D9" w:themeFill="background1" w:themeFillShade="D9"/>
          </w:tcPr>
          <w:p w14:paraId="28A364BB" w14:textId="77777777" w:rsidR="00166E12" w:rsidRPr="00166E12" w:rsidRDefault="00166E12" w:rsidP="000E3BD5">
            <w:pPr>
              <w:rPr>
                <w:vertAlign w:val="superscript"/>
              </w:rPr>
            </w:pPr>
            <w:r>
              <w:t>E</w:t>
            </w:r>
            <w:r>
              <w:rPr>
                <w:vertAlign w:val="superscript"/>
              </w:rPr>
              <w:t>2</w:t>
            </w:r>
          </w:p>
        </w:tc>
      </w:tr>
      <w:tr w:rsidR="00166E12" w14:paraId="6E8497EC" w14:textId="77777777" w:rsidTr="000E3BD5">
        <w:tc>
          <w:tcPr>
            <w:tcW w:w="2337" w:type="dxa"/>
          </w:tcPr>
          <w:p w14:paraId="2B137474" w14:textId="77777777" w:rsidR="00166E12" w:rsidRDefault="00166E12" w:rsidP="000E3BD5">
            <w:r>
              <w:t>3</w:t>
            </w:r>
          </w:p>
        </w:tc>
        <w:tc>
          <w:tcPr>
            <w:tcW w:w="2337" w:type="dxa"/>
          </w:tcPr>
          <w:p w14:paraId="246755CB" w14:textId="77777777" w:rsidR="00166E12" w:rsidRDefault="00166E12" w:rsidP="000E3BD5"/>
        </w:tc>
        <w:tc>
          <w:tcPr>
            <w:tcW w:w="2338" w:type="dxa"/>
          </w:tcPr>
          <w:p w14:paraId="2B530372" w14:textId="77777777" w:rsidR="00166E12" w:rsidRDefault="00166E12" w:rsidP="000E3BD5"/>
        </w:tc>
        <w:tc>
          <w:tcPr>
            <w:tcW w:w="2338" w:type="dxa"/>
          </w:tcPr>
          <w:p w14:paraId="2AB7F6D2" w14:textId="77777777" w:rsidR="00166E12" w:rsidRDefault="00166E12" w:rsidP="000E3BD5"/>
        </w:tc>
      </w:tr>
      <w:tr w:rsidR="00166E12" w14:paraId="4F886EBD" w14:textId="77777777" w:rsidTr="000E3BD5">
        <w:tc>
          <w:tcPr>
            <w:tcW w:w="2337" w:type="dxa"/>
          </w:tcPr>
          <w:p w14:paraId="6FC53D6E" w14:textId="77777777" w:rsidR="00166E12" w:rsidRDefault="00166E12" w:rsidP="000E3BD5">
            <w:r>
              <w:t>4</w:t>
            </w:r>
          </w:p>
        </w:tc>
        <w:tc>
          <w:tcPr>
            <w:tcW w:w="2337" w:type="dxa"/>
          </w:tcPr>
          <w:p w14:paraId="7CD2992C" w14:textId="77777777" w:rsidR="00166E12" w:rsidRDefault="00166E12" w:rsidP="000E3BD5"/>
        </w:tc>
        <w:tc>
          <w:tcPr>
            <w:tcW w:w="2338" w:type="dxa"/>
          </w:tcPr>
          <w:p w14:paraId="364B22B3" w14:textId="77777777" w:rsidR="00166E12" w:rsidRDefault="00166E12" w:rsidP="000E3BD5"/>
        </w:tc>
        <w:tc>
          <w:tcPr>
            <w:tcW w:w="2338" w:type="dxa"/>
          </w:tcPr>
          <w:p w14:paraId="7B7EEE49" w14:textId="77777777" w:rsidR="00166E12" w:rsidRDefault="00166E12" w:rsidP="000E3BD5"/>
        </w:tc>
      </w:tr>
      <w:tr w:rsidR="00166E12" w14:paraId="44D09000" w14:textId="77777777" w:rsidTr="000E3BD5">
        <w:tc>
          <w:tcPr>
            <w:tcW w:w="2337" w:type="dxa"/>
          </w:tcPr>
          <w:p w14:paraId="400D2B31" w14:textId="77777777" w:rsidR="00166E12" w:rsidRDefault="00166E12" w:rsidP="000E3BD5">
            <w:r>
              <w:t>5</w:t>
            </w:r>
          </w:p>
        </w:tc>
        <w:tc>
          <w:tcPr>
            <w:tcW w:w="2337" w:type="dxa"/>
          </w:tcPr>
          <w:p w14:paraId="543ECB2B" w14:textId="77777777" w:rsidR="00166E12" w:rsidRDefault="00166E12" w:rsidP="000E3BD5"/>
        </w:tc>
        <w:tc>
          <w:tcPr>
            <w:tcW w:w="2338" w:type="dxa"/>
          </w:tcPr>
          <w:p w14:paraId="08051EB2" w14:textId="77777777" w:rsidR="00166E12" w:rsidRDefault="00166E12" w:rsidP="000E3BD5"/>
        </w:tc>
        <w:tc>
          <w:tcPr>
            <w:tcW w:w="2338" w:type="dxa"/>
          </w:tcPr>
          <w:p w14:paraId="47773F9F" w14:textId="77777777" w:rsidR="00166E12" w:rsidRDefault="00166E12" w:rsidP="000E3BD5"/>
        </w:tc>
      </w:tr>
    </w:tbl>
    <w:p w14:paraId="103136A8" w14:textId="77777777" w:rsidR="00166E12" w:rsidRDefault="00166E12" w:rsidP="00166E12">
      <w:r>
        <w:t xml:space="preserve"> </w:t>
      </w:r>
    </w:p>
    <w:tbl>
      <w:tblPr>
        <w:tblStyle w:val="TableGrid"/>
        <w:tblW w:w="0" w:type="auto"/>
        <w:tblLook w:val="04A0" w:firstRow="1" w:lastRow="0" w:firstColumn="1" w:lastColumn="0" w:noHBand="0" w:noVBand="1"/>
      </w:tblPr>
      <w:tblGrid>
        <w:gridCol w:w="1255"/>
        <w:gridCol w:w="1620"/>
      </w:tblGrid>
      <w:tr w:rsidR="00166E12" w14:paraId="54019779" w14:textId="77777777" w:rsidTr="000E3BD5">
        <w:tc>
          <w:tcPr>
            <w:tcW w:w="1255" w:type="dxa"/>
            <w:shd w:val="clear" w:color="auto" w:fill="D9D9D9" w:themeFill="background1" w:themeFillShade="D9"/>
          </w:tcPr>
          <w:p w14:paraId="4B0A78AA" w14:textId="77777777" w:rsidR="00166E12" w:rsidRDefault="00166E12" w:rsidP="000E3BD5">
            <w:r>
              <w:t>MSE</w:t>
            </w:r>
          </w:p>
        </w:tc>
        <w:tc>
          <w:tcPr>
            <w:tcW w:w="1620" w:type="dxa"/>
          </w:tcPr>
          <w:p w14:paraId="6BC3DCFC" w14:textId="77777777" w:rsidR="00166E12" w:rsidRDefault="00166E12" w:rsidP="000E3BD5"/>
        </w:tc>
      </w:tr>
    </w:tbl>
    <w:p w14:paraId="5C1CD466" w14:textId="77777777" w:rsidR="00166E12" w:rsidRDefault="00166E12" w:rsidP="00166E12"/>
    <w:p w14:paraId="42FDB756" w14:textId="64E83FBC" w:rsidR="00143A04" w:rsidRDefault="00143A04" w:rsidP="00C130D8">
      <w:r>
        <w:t xml:space="preserve">4- </w:t>
      </w:r>
    </w:p>
    <w:tbl>
      <w:tblPr>
        <w:tblStyle w:val="TableGrid"/>
        <w:tblW w:w="0" w:type="auto"/>
        <w:tblLook w:val="04A0" w:firstRow="1" w:lastRow="0" w:firstColumn="1" w:lastColumn="0" w:noHBand="0" w:noVBand="1"/>
      </w:tblPr>
      <w:tblGrid>
        <w:gridCol w:w="4675"/>
        <w:gridCol w:w="4675"/>
      </w:tblGrid>
      <w:tr w:rsidR="00143A04" w14:paraId="1291BAB7" w14:textId="77777777" w:rsidTr="00143A04">
        <w:tc>
          <w:tcPr>
            <w:tcW w:w="4675" w:type="dxa"/>
            <w:shd w:val="clear" w:color="auto" w:fill="D9D9D9" w:themeFill="background1" w:themeFillShade="D9"/>
          </w:tcPr>
          <w:p w14:paraId="3D83C74B" w14:textId="43E47C6D" w:rsidR="00143A04" w:rsidRPr="00143A04" w:rsidRDefault="00143A04" w:rsidP="00C130D8">
            <w:pPr>
              <w:rPr>
                <w:sz w:val="32"/>
                <w:szCs w:val="32"/>
              </w:rPr>
            </w:pPr>
            <w:r w:rsidRPr="00143A04">
              <w:rPr>
                <w:sz w:val="32"/>
                <w:szCs w:val="32"/>
              </w:rPr>
              <w:t>The best forecasting method</w:t>
            </w:r>
          </w:p>
        </w:tc>
        <w:tc>
          <w:tcPr>
            <w:tcW w:w="4675" w:type="dxa"/>
          </w:tcPr>
          <w:p w14:paraId="03814DC9" w14:textId="77777777" w:rsidR="00143A04" w:rsidRDefault="00143A04" w:rsidP="00C130D8"/>
        </w:tc>
      </w:tr>
    </w:tbl>
    <w:p w14:paraId="24AB1B8B" w14:textId="29DA9E75" w:rsidR="00166E12" w:rsidRDefault="00166E12" w:rsidP="00C130D8"/>
    <w:sectPr w:rsidR="00166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ED5"/>
    <w:multiLevelType w:val="hybridMultilevel"/>
    <w:tmpl w:val="BB5E9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49"/>
    <w:rsid w:val="00143A04"/>
    <w:rsid w:val="00166E12"/>
    <w:rsid w:val="002524B8"/>
    <w:rsid w:val="002B4670"/>
    <w:rsid w:val="00C130D8"/>
    <w:rsid w:val="00C21AD4"/>
    <w:rsid w:val="00C93BB3"/>
    <w:rsid w:val="00E14E49"/>
    <w:rsid w:val="00E976EF"/>
    <w:rsid w:val="00F25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9194"/>
  <w15:chartTrackingRefBased/>
  <w15:docId w15:val="{5BF4D097-1410-4C57-96F5-392139E8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7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Al-Qatawneh</dc:creator>
  <cp:keywords/>
  <dc:description/>
  <cp:lastModifiedBy>Lina Al-Qatawneh</cp:lastModifiedBy>
  <cp:revision>6</cp:revision>
  <dcterms:created xsi:type="dcterms:W3CDTF">2020-04-15T10:33:00Z</dcterms:created>
  <dcterms:modified xsi:type="dcterms:W3CDTF">2020-11-11T09:09:00Z</dcterms:modified>
</cp:coreProperties>
</file>